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DF940" w14:textId="77777777" w:rsidR="00BF6A7D" w:rsidRDefault="00BF6A7D" w:rsidP="00BF6A7D">
      <w:pPr>
        <w:autoSpaceDE w:val="0"/>
        <w:autoSpaceDN w:val="0"/>
        <w:adjustRightInd w:val="0"/>
        <w:spacing w:after="0"/>
        <w:ind w:left="720"/>
      </w:pPr>
    </w:p>
    <w:p w14:paraId="5F034930" w14:textId="77777777" w:rsidR="007F6940" w:rsidRDefault="007F6940" w:rsidP="007F6940">
      <w:pPr>
        <w:autoSpaceDE w:val="0"/>
        <w:autoSpaceDN w:val="0"/>
        <w:adjustRightInd w:val="0"/>
        <w:spacing w:after="0"/>
        <w:rPr>
          <w:rFonts w:cs="LeMondeSansStd-Bold"/>
          <w:b/>
          <w:bCs/>
          <w:color w:val="000000"/>
          <w:sz w:val="22"/>
          <w:szCs w:val="22"/>
        </w:rPr>
      </w:pPr>
    </w:p>
    <w:p w14:paraId="10E8C220" w14:textId="77777777" w:rsidR="00EC18EB" w:rsidRDefault="00EC18EB" w:rsidP="00EC18EB">
      <w:pPr>
        <w:autoSpaceDE w:val="0"/>
        <w:autoSpaceDN w:val="0"/>
        <w:adjustRightInd w:val="0"/>
        <w:jc w:val="center"/>
        <w:rPr>
          <w:rFonts w:cs="Arial"/>
          <w:i/>
          <w:szCs w:val="24"/>
          <w:lang w:val="es-UY" w:eastAsia="es-UY"/>
        </w:rPr>
      </w:pPr>
    </w:p>
    <w:p w14:paraId="4C6BF9ED" w14:textId="77777777" w:rsidR="00EC18EB" w:rsidRPr="00EC18EB" w:rsidRDefault="00EC18EB" w:rsidP="00EC18EB">
      <w:pPr>
        <w:autoSpaceDE w:val="0"/>
        <w:autoSpaceDN w:val="0"/>
        <w:adjustRightInd w:val="0"/>
        <w:jc w:val="center"/>
        <w:rPr>
          <w:rFonts w:cs="Arial"/>
          <w:b/>
          <w:i/>
          <w:sz w:val="22"/>
          <w:szCs w:val="22"/>
          <w:u w:val="single"/>
          <w:lang w:val="es-UY" w:eastAsia="es-UY"/>
        </w:rPr>
      </w:pPr>
      <w:r w:rsidRPr="00EC18EB">
        <w:rPr>
          <w:rFonts w:cs="Arial"/>
          <w:b/>
          <w:i/>
          <w:sz w:val="22"/>
          <w:szCs w:val="22"/>
          <w:u w:val="single"/>
          <w:lang w:val="es-UY" w:eastAsia="es-UY"/>
        </w:rPr>
        <w:t>ANTEPROYECTO DE LEY MODIFICATIVO DE LA 18.083</w:t>
      </w:r>
    </w:p>
    <w:p w14:paraId="655FCAB1" w14:textId="77777777" w:rsidR="00EC18EB" w:rsidRPr="00EC18EB" w:rsidRDefault="00EC18EB" w:rsidP="00EC18EB">
      <w:pPr>
        <w:autoSpaceDE w:val="0"/>
        <w:autoSpaceDN w:val="0"/>
        <w:adjustRightInd w:val="0"/>
        <w:jc w:val="center"/>
        <w:rPr>
          <w:rFonts w:cs="Arial"/>
          <w:i/>
          <w:sz w:val="22"/>
          <w:szCs w:val="22"/>
          <w:lang w:val="es-UY" w:eastAsia="es-UY"/>
        </w:rPr>
      </w:pPr>
    </w:p>
    <w:p w14:paraId="26EFE116" w14:textId="77777777" w:rsidR="00EC18EB" w:rsidRPr="00EC18EB" w:rsidRDefault="00EC18EB" w:rsidP="00EC18EB">
      <w:pPr>
        <w:autoSpaceDE w:val="0"/>
        <w:autoSpaceDN w:val="0"/>
        <w:adjustRightInd w:val="0"/>
        <w:jc w:val="center"/>
        <w:rPr>
          <w:rFonts w:cs="Arial"/>
          <w:i/>
          <w:sz w:val="22"/>
          <w:szCs w:val="22"/>
          <w:lang w:val="es-UY" w:eastAsia="es-UY"/>
        </w:rPr>
      </w:pPr>
      <w:r w:rsidRPr="00EC18EB">
        <w:rPr>
          <w:rFonts w:cs="Arial"/>
          <w:i/>
          <w:sz w:val="22"/>
          <w:szCs w:val="22"/>
          <w:lang w:val="es-UY" w:eastAsia="es-UY"/>
        </w:rPr>
        <w:t>ANTEPROYECTO DE LEY</w:t>
      </w:r>
    </w:p>
    <w:p w14:paraId="5B9ADB56" w14:textId="77777777" w:rsidR="00EC18EB" w:rsidRPr="00EC18EB" w:rsidRDefault="00EC18EB" w:rsidP="00EC18EB">
      <w:pPr>
        <w:autoSpaceDE w:val="0"/>
        <w:autoSpaceDN w:val="0"/>
        <w:adjustRightInd w:val="0"/>
        <w:jc w:val="center"/>
        <w:rPr>
          <w:rFonts w:cs="Arial"/>
          <w:i/>
          <w:sz w:val="22"/>
          <w:szCs w:val="22"/>
          <w:lang w:val="es-UY" w:eastAsia="es-UY"/>
        </w:rPr>
      </w:pPr>
    </w:p>
    <w:p w14:paraId="5EDD63FB" w14:textId="77777777" w:rsidR="00EC18EB" w:rsidRPr="00EC18EB" w:rsidRDefault="00EC18EB" w:rsidP="00EC18EB">
      <w:pPr>
        <w:autoSpaceDE w:val="0"/>
        <w:autoSpaceDN w:val="0"/>
        <w:adjustRightInd w:val="0"/>
        <w:jc w:val="center"/>
        <w:rPr>
          <w:rFonts w:cs="Arial"/>
          <w:i/>
          <w:sz w:val="22"/>
          <w:szCs w:val="22"/>
          <w:lang w:val="es-UY" w:eastAsia="es-UY"/>
        </w:rPr>
      </w:pPr>
      <w:r w:rsidRPr="00EC18EB">
        <w:rPr>
          <w:rFonts w:cs="Arial"/>
          <w:i/>
          <w:sz w:val="22"/>
          <w:szCs w:val="22"/>
        </w:rPr>
        <w:t>AJUSTES A TASA DE C</w:t>
      </w:r>
      <w:bookmarkStart w:id="0" w:name="_GoBack"/>
      <w:bookmarkEnd w:id="0"/>
      <w:r w:rsidRPr="00EC18EB">
        <w:rPr>
          <w:rFonts w:cs="Arial"/>
          <w:i/>
          <w:sz w:val="22"/>
          <w:szCs w:val="22"/>
        </w:rPr>
        <w:t>ONTROL REGULATORIO DEL SISTEMA FINANCIERO</w:t>
      </w:r>
    </w:p>
    <w:p w14:paraId="6E518A0B" w14:textId="77777777" w:rsidR="00EC18EB" w:rsidRPr="00EC18EB" w:rsidRDefault="00EC18EB" w:rsidP="00EC18EB">
      <w:pPr>
        <w:autoSpaceDE w:val="0"/>
        <w:autoSpaceDN w:val="0"/>
        <w:adjustRightInd w:val="0"/>
        <w:jc w:val="center"/>
        <w:rPr>
          <w:rFonts w:cs="Arial"/>
          <w:i/>
          <w:sz w:val="22"/>
          <w:szCs w:val="22"/>
          <w:lang w:val="es-UY" w:eastAsia="es-UY"/>
        </w:rPr>
      </w:pPr>
    </w:p>
    <w:p w14:paraId="4929BD7C" w14:textId="77777777" w:rsidR="00EC18EB" w:rsidRPr="00EC18EB" w:rsidRDefault="00EC18EB" w:rsidP="00EC18EB">
      <w:pPr>
        <w:jc w:val="both"/>
        <w:rPr>
          <w:rFonts w:cs="Arial"/>
          <w:sz w:val="22"/>
          <w:szCs w:val="22"/>
          <w:lang w:eastAsia="es-UY"/>
        </w:rPr>
      </w:pPr>
      <w:r w:rsidRPr="00EC18EB">
        <w:rPr>
          <w:rFonts w:cs="Arial"/>
          <w:sz w:val="22"/>
          <w:szCs w:val="22"/>
          <w:u w:val="single"/>
          <w:lang w:eastAsia="es-UY"/>
        </w:rPr>
        <w:t>Artículo 1°</w:t>
      </w:r>
      <w:r w:rsidRPr="00EC18EB">
        <w:rPr>
          <w:rFonts w:cs="Arial"/>
          <w:sz w:val="22"/>
          <w:szCs w:val="22"/>
          <w:lang w:eastAsia="es-UY"/>
        </w:rPr>
        <w:t xml:space="preserve">. - Sustituyese el artículo 95 de la Ley Nº 18.083, de 27 de diciembre de 2006, el que quedará redactado de la siguiente manera: </w:t>
      </w:r>
    </w:p>
    <w:p w14:paraId="615710B1" w14:textId="77777777" w:rsidR="00EC18EB" w:rsidRPr="00EC18EB" w:rsidRDefault="00EC18EB" w:rsidP="00EC18EB">
      <w:pPr>
        <w:jc w:val="both"/>
        <w:rPr>
          <w:rFonts w:cs="Arial"/>
          <w:sz w:val="22"/>
          <w:szCs w:val="22"/>
          <w:lang w:eastAsia="es-UY"/>
        </w:rPr>
      </w:pPr>
    </w:p>
    <w:p w14:paraId="64283D8D" w14:textId="77777777" w:rsidR="00EC18EB" w:rsidRPr="00EC18EB" w:rsidRDefault="00EC18EB" w:rsidP="00EC18EB">
      <w:pPr>
        <w:jc w:val="both"/>
        <w:rPr>
          <w:rFonts w:cs="Arial"/>
          <w:sz w:val="22"/>
          <w:szCs w:val="22"/>
          <w:lang w:eastAsia="es-UY"/>
        </w:rPr>
      </w:pPr>
      <w:r w:rsidRPr="00EC18EB">
        <w:rPr>
          <w:rFonts w:cs="Arial"/>
          <w:i/>
          <w:sz w:val="22"/>
          <w:szCs w:val="22"/>
          <w:lang w:eastAsia="es-UY"/>
        </w:rPr>
        <w:t xml:space="preserve">ARTÍCULO 95. </w:t>
      </w:r>
      <w:proofErr w:type="gramStart"/>
      <w:r w:rsidRPr="00EC18EB">
        <w:rPr>
          <w:rFonts w:cs="Arial"/>
          <w:i/>
          <w:sz w:val="22"/>
          <w:szCs w:val="22"/>
          <w:lang w:eastAsia="es-UY"/>
        </w:rPr>
        <w:t>Estructura.-</w:t>
      </w:r>
      <w:proofErr w:type="gramEnd"/>
      <w:r w:rsidRPr="00EC18EB">
        <w:rPr>
          <w:rFonts w:cs="Arial"/>
          <w:i/>
          <w:sz w:val="22"/>
          <w:szCs w:val="22"/>
          <w:lang w:eastAsia="es-UY"/>
        </w:rPr>
        <w:t xml:space="preserve"> Créase la Tasa de Control Regulatorio del Sistema Financiero, que se devengará por las actividades de regulación o supervisión desarrolladas por el Banco Central del Uruguay</w:t>
      </w:r>
      <w:r w:rsidRPr="00EC18EB">
        <w:rPr>
          <w:rFonts w:cs="Arial"/>
          <w:sz w:val="22"/>
          <w:szCs w:val="22"/>
          <w:lang w:eastAsia="es-UY"/>
        </w:rPr>
        <w:t xml:space="preserve">. </w:t>
      </w:r>
    </w:p>
    <w:p w14:paraId="76CE2F99" w14:textId="77777777" w:rsidR="00EC18EB" w:rsidRPr="00EC18EB" w:rsidRDefault="00EC18EB" w:rsidP="00EC18EB">
      <w:pPr>
        <w:jc w:val="both"/>
        <w:rPr>
          <w:rFonts w:cs="Arial"/>
          <w:sz w:val="22"/>
          <w:szCs w:val="22"/>
          <w:lang w:eastAsia="es-UY"/>
        </w:rPr>
      </w:pPr>
    </w:p>
    <w:p w14:paraId="5F04F791" w14:textId="77777777" w:rsidR="00EC18EB" w:rsidRPr="00EC18EB" w:rsidRDefault="00EC18EB" w:rsidP="00EC18EB">
      <w:pPr>
        <w:jc w:val="both"/>
        <w:rPr>
          <w:rFonts w:cs="Arial"/>
          <w:sz w:val="22"/>
          <w:szCs w:val="22"/>
          <w:lang w:eastAsia="es-UY"/>
        </w:rPr>
      </w:pPr>
      <w:r w:rsidRPr="00EC18EB">
        <w:rPr>
          <w:rFonts w:cs="Arial"/>
          <w:sz w:val="22"/>
          <w:szCs w:val="22"/>
          <w:u w:val="single"/>
          <w:lang w:eastAsia="es-UY"/>
        </w:rPr>
        <w:t>Artículo 2º</w:t>
      </w:r>
      <w:r w:rsidRPr="00EC18EB">
        <w:rPr>
          <w:rFonts w:cs="Arial"/>
          <w:sz w:val="22"/>
          <w:szCs w:val="22"/>
          <w:lang w:eastAsia="es-UY"/>
        </w:rPr>
        <w:t xml:space="preserve">.- Sustituyese el artículo 96 de la Ley Nº 18.083, de 27 de diciembre de 2006, el que quedará redactado de la siguiente manera: </w:t>
      </w:r>
    </w:p>
    <w:p w14:paraId="5C9A6099" w14:textId="77777777" w:rsidR="00EC18EB" w:rsidRPr="00EC18EB" w:rsidRDefault="00EC18EB" w:rsidP="00EC18EB">
      <w:pPr>
        <w:jc w:val="both"/>
        <w:rPr>
          <w:rFonts w:cs="Arial"/>
          <w:sz w:val="22"/>
          <w:szCs w:val="22"/>
          <w:lang w:eastAsia="es-UY"/>
        </w:rPr>
      </w:pPr>
    </w:p>
    <w:p w14:paraId="2978AF24" w14:textId="77777777" w:rsidR="00EC18EB" w:rsidRPr="00EC18EB" w:rsidRDefault="00EC18EB" w:rsidP="00EC18EB">
      <w:pPr>
        <w:jc w:val="both"/>
        <w:rPr>
          <w:rFonts w:cs="Arial"/>
          <w:i/>
          <w:sz w:val="22"/>
          <w:szCs w:val="22"/>
          <w:lang w:eastAsia="es-UY"/>
        </w:rPr>
      </w:pPr>
      <w:r w:rsidRPr="00EC18EB">
        <w:rPr>
          <w:rFonts w:cs="Arial"/>
          <w:i/>
          <w:sz w:val="22"/>
          <w:szCs w:val="22"/>
          <w:lang w:eastAsia="es-UY"/>
        </w:rPr>
        <w:t xml:space="preserve">ARTÍCULO 96. Sujetos </w:t>
      </w:r>
      <w:proofErr w:type="gramStart"/>
      <w:r w:rsidRPr="00EC18EB">
        <w:rPr>
          <w:rFonts w:cs="Arial"/>
          <w:i/>
          <w:sz w:val="22"/>
          <w:szCs w:val="22"/>
          <w:lang w:eastAsia="es-UY"/>
        </w:rPr>
        <w:t>pasivos.-</w:t>
      </w:r>
      <w:proofErr w:type="gramEnd"/>
      <w:r w:rsidRPr="00EC18EB">
        <w:rPr>
          <w:rFonts w:cs="Arial"/>
          <w:i/>
          <w:sz w:val="22"/>
          <w:szCs w:val="22"/>
          <w:lang w:eastAsia="es-UY"/>
        </w:rPr>
        <w:t xml:space="preserve"> Son sujetos pasivos de la referida tasa todas las entidades reguladas o supervisadas por el Banco Central del Uruguay. </w:t>
      </w:r>
    </w:p>
    <w:p w14:paraId="15E3BE97" w14:textId="77777777" w:rsidR="00EC18EB" w:rsidRPr="00EC18EB" w:rsidRDefault="00EC18EB" w:rsidP="00EC18EB">
      <w:pPr>
        <w:jc w:val="both"/>
        <w:rPr>
          <w:rFonts w:cs="Arial"/>
          <w:sz w:val="22"/>
          <w:szCs w:val="22"/>
          <w:lang w:eastAsia="es-UY"/>
        </w:rPr>
      </w:pPr>
    </w:p>
    <w:p w14:paraId="5D135768" w14:textId="77777777" w:rsidR="00EC18EB" w:rsidRPr="00EC18EB" w:rsidRDefault="00EC18EB" w:rsidP="00EC18EB">
      <w:pPr>
        <w:jc w:val="both"/>
        <w:rPr>
          <w:rFonts w:cs="Arial"/>
          <w:sz w:val="22"/>
          <w:szCs w:val="22"/>
          <w:lang w:eastAsia="es-UY"/>
        </w:rPr>
      </w:pPr>
      <w:r w:rsidRPr="00EC18EB">
        <w:rPr>
          <w:rFonts w:cs="Arial"/>
          <w:sz w:val="22"/>
          <w:szCs w:val="22"/>
          <w:u w:val="single"/>
          <w:lang w:eastAsia="es-UY"/>
        </w:rPr>
        <w:t>Artículo 3º</w:t>
      </w:r>
      <w:r w:rsidRPr="00EC18EB">
        <w:rPr>
          <w:rFonts w:cs="Arial"/>
          <w:sz w:val="22"/>
          <w:szCs w:val="22"/>
          <w:lang w:eastAsia="es-UY"/>
        </w:rPr>
        <w:t xml:space="preserve">.- Sustituyese el artículo 97 de la Ley Nº 18.083, de 27 de diciembre de 2006, el que quedará redactado de la siguiente manera: </w:t>
      </w:r>
    </w:p>
    <w:p w14:paraId="4A0D2598" w14:textId="77777777" w:rsidR="00EC18EB" w:rsidRPr="00EC18EB" w:rsidRDefault="00EC18EB" w:rsidP="00EC18EB">
      <w:pPr>
        <w:jc w:val="both"/>
        <w:rPr>
          <w:rFonts w:cs="Arial"/>
          <w:sz w:val="22"/>
          <w:szCs w:val="22"/>
          <w:lang w:eastAsia="es-UY"/>
        </w:rPr>
      </w:pPr>
    </w:p>
    <w:p w14:paraId="756818E0" w14:textId="77777777" w:rsidR="00EC18EB" w:rsidRPr="00EC18EB" w:rsidRDefault="00EC18EB" w:rsidP="00EC18EB">
      <w:pPr>
        <w:jc w:val="both"/>
        <w:rPr>
          <w:rFonts w:cs="Arial"/>
          <w:i/>
          <w:sz w:val="22"/>
          <w:szCs w:val="22"/>
          <w:lang w:eastAsia="es-UY"/>
        </w:rPr>
      </w:pPr>
      <w:r w:rsidRPr="00EC18EB">
        <w:rPr>
          <w:rFonts w:cs="Arial"/>
          <w:i/>
          <w:sz w:val="22"/>
          <w:szCs w:val="22"/>
          <w:lang w:eastAsia="es-UY"/>
        </w:rPr>
        <w:t xml:space="preserve">ARTÍCULO 97. Destino de lo </w:t>
      </w:r>
      <w:proofErr w:type="gramStart"/>
      <w:r w:rsidRPr="00EC18EB">
        <w:rPr>
          <w:rFonts w:cs="Arial"/>
          <w:i/>
          <w:sz w:val="22"/>
          <w:szCs w:val="22"/>
          <w:lang w:eastAsia="es-UY"/>
        </w:rPr>
        <w:t>recaudado.-</w:t>
      </w:r>
      <w:proofErr w:type="gramEnd"/>
      <w:r w:rsidRPr="00EC18EB">
        <w:rPr>
          <w:rFonts w:cs="Arial"/>
          <w:i/>
          <w:sz w:val="22"/>
          <w:szCs w:val="22"/>
          <w:lang w:eastAsia="es-UY"/>
        </w:rPr>
        <w:t xml:space="preserve"> El total de lo recaudado por la tasa que se crea, conforme a la reglamentación que dicte el Poder Ejecutivo, se destinará a la financiación del costo de regulación y supervisión financieras del Banco Central del Uruguay. </w:t>
      </w:r>
    </w:p>
    <w:p w14:paraId="358F2F5A" w14:textId="77777777" w:rsidR="00EC18EB" w:rsidRPr="00EC18EB" w:rsidRDefault="00EC18EB" w:rsidP="00EC18EB">
      <w:pPr>
        <w:jc w:val="both"/>
        <w:rPr>
          <w:rFonts w:cs="Arial"/>
          <w:sz w:val="22"/>
          <w:szCs w:val="22"/>
          <w:lang w:eastAsia="es-UY"/>
        </w:rPr>
      </w:pPr>
    </w:p>
    <w:p w14:paraId="511871C7" w14:textId="77777777" w:rsidR="00EC18EB" w:rsidRPr="00EC18EB" w:rsidRDefault="00EC18EB" w:rsidP="00EC18EB">
      <w:pPr>
        <w:jc w:val="both"/>
        <w:rPr>
          <w:rFonts w:cs="Arial"/>
          <w:sz w:val="22"/>
          <w:szCs w:val="22"/>
          <w:lang w:eastAsia="es-UY"/>
        </w:rPr>
      </w:pPr>
      <w:r w:rsidRPr="00EC18EB">
        <w:rPr>
          <w:rFonts w:cs="Arial"/>
          <w:sz w:val="22"/>
          <w:szCs w:val="22"/>
          <w:u w:val="single"/>
          <w:lang w:eastAsia="es-UY"/>
        </w:rPr>
        <w:t>Artículo 4º</w:t>
      </w:r>
      <w:r w:rsidRPr="00EC18EB">
        <w:rPr>
          <w:rFonts w:cs="Arial"/>
          <w:sz w:val="22"/>
          <w:szCs w:val="22"/>
          <w:lang w:eastAsia="es-UY"/>
        </w:rPr>
        <w:t xml:space="preserve">.- Sustituyese el texto del artículo 98 de la Ley Nº 18.083, de 27 de diciembre de 2006, el que quedará redactado de la siguiente manera: </w:t>
      </w:r>
    </w:p>
    <w:p w14:paraId="31D1B037" w14:textId="77777777" w:rsidR="00EC18EB" w:rsidRPr="00EC18EB" w:rsidRDefault="00EC18EB" w:rsidP="00EC18EB">
      <w:pPr>
        <w:jc w:val="both"/>
        <w:rPr>
          <w:rFonts w:cs="Arial"/>
          <w:sz w:val="22"/>
          <w:szCs w:val="22"/>
          <w:lang w:eastAsia="es-UY"/>
        </w:rPr>
      </w:pPr>
    </w:p>
    <w:p w14:paraId="54620E6A" w14:textId="77777777" w:rsidR="00EC18EB" w:rsidRPr="00EC18EB" w:rsidRDefault="00EC18EB" w:rsidP="00EC18EB">
      <w:pPr>
        <w:jc w:val="both"/>
        <w:rPr>
          <w:rFonts w:cs="Arial"/>
          <w:i/>
          <w:sz w:val="22"/>
          <w:szCs w:val="22"/>
          <w:lang w:eastAsia="es-UY"/>
        </w:rPr>
      </w:pPr>
      <w:r w:rsidRPr="00EC18EB">
        <w:rPr>
          <w:rFonts w:cs="Arial"/>
          <w:i/>
          <w:sz w:val="22"/>
          <w:szCs w:val="22"/>
          <w:lang w:eastAsia="es-UY"/>
        </w:rPr>
        <w:t xml:space="preserve">ARTÍCULO 98. Base de cálculo, alícuotas y </w:t>
      </w:r>
      <w:proofErr w:type="gramStart"/>
      <w:r w:rsidRPr="00EC18EB">
        <w:rPr>
          <w:rFonts w:cs="Arial"/>
          <w:i/>
          <w:sz w:val="22"/>
          <w:szCs w:val="22"/>
          <w:lang w:eastAsia="es-UY"/>
        </w:rPr>
        <w:t>regulación.-</w:t>
      </w:r>
      <w:proofErr w:type="gramEnd"/>
      <w:r w:rsidRPr="00EC18EB">
        <w:rPr>
          <w:rFonts w:cs="Arial"/>
          <w:i/>
          <w:sz w:val="22"/>
          <w:szCs w:val="22"/>
          <w:lang w:eastAsia="es-UY"/>
        </w:rPr>
        <w:t xml:space="preserve"> La base de cálculo y la alícuota de la Tasa de Control Regulatorio del Sistema Financiero será precisada en la regulación del Poder Ejecutivo previa propuesta fundada del Banco Central del Uruguay. </w:t>
      </w:r>
    </w:p>
    <w:p w14:paraId="50CFC994" w14:textId="77777777" w:rsidR="00EC18EB" w:rsidRPr="00EC18EB" w:rsidRDefault="00EC18EB" w:rsidP="00EC18EB">
      <w:pPr>
        <w:jc w:val="both"/>
        <w:rPr>
          <w:rFonts w:cs="Arial"/>
          <w:i/>
          <w:sz w:val="22"/>
          <w:szCs w:val="22"/>
          <w:lang w:eastAsia="es-UY"/>
        </w:rPr>
      </w:pPr>
    </w:p>
    <w:p w14:paraId="4E752122" w14:textId="77777777" w:rsidR="00EC18EB" w:rsidRPr="00EC18EB" w:rsidRDefault="00EC18EB" w:rsidP="00EC18EB">
      <w:pPr>
        <w:jc w:val="both"/>
        <w:rPr>
          <w:rFonts w:cs="Arial"/>
          <w:i/>
          <w:sz w:val="22"/>
          <w:szCs w:val="22"/>
          <w:lang w:eastAsia="es-UY"/>
        </w:rPr>
      </w:pPr>
      <w:r w:rsidRPr="00EC18EB">
        <w:rPr>
          <w:rFonts w:cs="Arial"/>
          <w:i/>
          <w:sz w:val="22"/>
          <w:szCs w:val="22"/>
          <w:lang w:eastAsia="es-UY"/>
        </w:rPr>
        <w:t xml:space="preserve">Se establece una tasa básica de 12.000 UI (unidades indexadas doce mil) anuales por sujeto pasivo para atender un costo básico de registro y recepción de información, el que se deducirá de la tasa correspondiente según el siguiente detalle: </w:t>
      </w:r>
    </w:p>
    <w:p w14:paraId="7E85048B" w14:textId="77777777" w:rsidR="00EC18EB" w:rsidRPr="00EC18EB" w:rsidRDefault="00EC18EB" w:rsidP="00EC18EB">
      <w:pPr>
        <w:jc w:val="both"/>
        <w:rPr>
          <w:rFonts w:cs="Arial"/>
          <w:i/>
          <w:sz w:val="22"/>
          <w:szCs w:val="22"/>
          <w:lang w:eastAsia="es-UY"/>
        </w:rPr>
      </w:pPr>
    </w:p>
    <w:p w14:paraId="500C379D" w14:textId="77777777" w:rsidR="00EC18EB" w:rsidRPr="00EC18EB" w:rsidRDefault="00EC18EB" w:rsidP="00EC18EB">
      <w:pPr>
        <w:jc w:val="both"/>
        <w:rPr>
          <w:rFonts w:cs="Arial"/>
          <w:i/>
          <w:sz w:val="22"/>
          <w:szCs w:val="22"/>
          <w:lang w:eastAsia="es-UY"/>
        </w:rPr>
      </w:pPr>
      <w:r w:rsidRPr="00EC18EB">
        <w:rPr>
          <w:rFonts w:cs="Arial"/>
          <w:i/>
          <w:sz w:val="22"/>
          <w:szCs w:val="22"/>
          <w:lang w:eastAsia="es-UY"/>
        </w:rPr>
        <w:t>A) Para las empresas de intermediación financiera, la alícuota no podrá superar el 0,75 º/</w:t>
      </w:r>
      <w:proofErr w:type="spellStart"/>
      <w:r w:rsidRPr="00EC18EB">
        <w:rPr>
          <w:rFonts w:cs="Arial"/>
          <w:i/>
          <w:sz w:val="22"/>
          <w:szCs w:val="22"/>
          <w:lang w:eastAsia="es-UY"/>
        </w:rPr>
        <w:t>oo</w:t>
      </w:r>
      <w:proofErr w:type="spellEnd"/>
      <w:r w:rsidRPr="00EC18EB">
        <w:rPr>
          <w:rFonts w:cs="Arial"/>
          <w:i/>
          <w:sz w:val="22"/>
          <w:szCs w:val="22"/>
          <w:lang w:eastAsia="es-UY"/>
        </w:rPr>
        <w:t xml:space="preserve"> (uno por mil) del promedio anual del total de los activos propios que administren.</w:t>
      </w:r>
    </w:p>
    <w:p w14:paraId="7FBE6A42" w14:textId="77777777" w:rsidR="00EC18EB" w:rsidRPr="00EC18EB" w:rsidRDefault="00EC18EB" w:rsidP="00EC18EB">
      <w:pPr>
        <w:jc w:val="both"/>
        <w:rPr>
          <w:rFonts w:cs="Arial"/>
          <w:i/>
          <w:sz w:val="22"/>
          <w:szCs w:val="22"/>
          <w:lang w:eastAsia="es-UY"/>
        </w:rPr>
      </w:pPr>
    </w:p>
    <w:p w14:paraId="46FF5937" w14:textId="77777777" w:rsidR="00EC18EB" w:rsidRPr="00EC18EB" w:rsidRDefault="00EC18EB" w:rsidP="00EC18EB">
      <w:pPr>
        <w:jc w:val="both"/>
        <w:rPr>
          <w:rFonts w:cs="Arial"/>
          <w:i/>
          <w:sz w:val="22"/>
          <w:szCs w:val="22"/>
          <w:lang w:eastAsia="es-UY"/>
        </w:rPr>
      </w:pPr>
      <w:r w:rsidRPr="00EC18EB">
        <w:rPr>
          <w:rFonts w:cs="Arial"/>
          <w:i/>
          <w:sz w:val="22"/>
          <w:szCs w:val="22"/>
          <w:lang w:eastAsia="es-UY"/>
        </w:rPr>
        <w:t>B) Para las empresas administradoras de crédito y las entidades otorgantes de créditos, la alícuota no podrá superar el 2º/</w:t>
      </w:r>
      <w:proofErr w:type="spellStart"/>
      <w:r w:rsidRPr="00EC18EB">
        <w:rPr>
          <w:rFonts w:cs="Arial"/>
          <w:i/>
          <w:sz w:val="22"/>
          <w:szCs w:val="22"/>
          <w:lang w:eastAsia="es-UY"/>
        </w:rPr>
        <w:t>oo</w:t>
      </w:r>
      <w:proofErr w:type="spellEnd"/>
      <w:r w:rsidRPr="00EC18EB">
        <w:rPr>
          <w:rFonts w:cs="Arial"/>
          <w:i/>
          <w:sz w:val="22"/>
          <w:szCs w:val="22"/>
          <w:lang w:eastAsia="es-UY"/>
        </w:rPr>
        <w:t xml:space="preserve"> (dos por mil) del promedio anual del total de los activos propios que administren. </w:t>
      </w:r>
    </w:p>
    <w:p w14:paraId="4D0E7AE8" w14:textId="77777777" w:rsidR="00EC18EB" w:rsidRPr="00EC18EB" w:rsidRDefault="00EC18EB" w:rsidP="00EC18EB">
      <w:pPr>
        <w:jc w:val="both"/>
        <w:rPr>
          <w:rFonts w:cs="Arial"/>
          <w:i/>
          <w:sz w:val="22"/>
          <w:szCs w:val="22"/>
          <w:lang w:eastAsia="es-UY"/>
        </w:rPr>
      </w:pPr>
    </w:p>
    <w:p w14:paraId="3F8DEDA6" w14:textId="77777777" w:rsidR="00EC18EB" w:rsidRPr="00EC18EB" w:rsidRDefault="00EC18EB" w:rsidP="00EC18EB">
      <w:pPr>
        <w:jc w:val="both"/>
        <w:rPr>
          <w:rFonts w:cs="Arial"/>
          <w:i/>
          <w:sz w:val="22"/>
          <w:szCs w:val="22"/>
          <w:lang w:eastAsia="es-UY"/>
        </w:rPr>
      </w:pPr>
      <w:r w:rsidRPr="00EC18EB">
        <w:rPr>
          <w:rFonts w:cs="Arial"/>
          <w:i/>
          <w:sz w:val="22"/>
          <w:szCs w:val="22"/>
          <w:lang w:eastAsia="es-UY"/>
        </w:rPr>
        <w:t>C) Para las empresas de seguros, reaseguros y las mutuas, la alícuota no podrá superar el 2º/</w:t>
      </w:r>
      <w:proofErr w:type="spellStart"/>
      <w:r w:rsidRPr="00EC18EB">
        <w:rPr>
          <w:rFonts w:cs="Arial"/>
          <w:i/>
          <w:sz w:val="22"/>
          <w:szCs w:val="22"/>
          <w:lang w:eastAsia="es-UY"/>
        </w:rPr>
        <w:t>oo</w:t>
      </w:r>
      <w:proofErr w:type="spellEnd"/>
      <w:r w:rsidRPr="00EC18EB">
        <w:rPr>
          <w:rFonts w:cs="Arial"/>
          <w:i/>
          <w:sz w:val="22"/>
          <w:szCs w:val="22"/>
          <w:lang w:eastAsia="es-UY"/>
        </w:rPr>
        <w:t xml:space="preserve"> (dos por mil) de los ingresos brutos anuales. </w:t>
      </w:r>
      <w:proofErr w:type="spellStart"/>
      <w:r w:rsidRPr="00EC18EB">
        <w:rPr>
          <w:rFonts w:cs="Arial"/>
          <w:i/>
          <w:sz w:val="22"/>
          <w:szCs w:val="22"/>
          <w:lang w:eastAsia="es-UY"/>
        </w:rPr>
        <w:t>Facúltase</w:t>
      </w:r>
      <w:proofErr w:type="spellEnd"/>
      <w:r w:rsidRPr="00EC18EB">
        <w:rPr>
          <w:rFonts w:cs="Arial"/>
          <w:i/>
          <w:sz w:val="22"/>
          <w:szCs w:val="22"/>
          <w:lang w:eastAsia="es-UY"/>
        </w:rPr>
        <w:t xml:space="preserve"> al Poder Ejecutivo a tomar la presente tasa como pago a cuenta del Impuesto a los Ingresos de las Compañías de Seguros (Título 6 del Texto Ordenado 1996). </w:t>
      </w:r>
    </w:p>
    <w:p w14:paraId="42E2CB34" w14:textId="77777777" w:rsidR="00EC18EB" w:rsidRPr="00EC18EB" w:rsidRDefault="00EC18EB" w:rsidP="00EC18EB">
      <w:pPr>
        <w:jc w:val="both"/>
        <w:rPr>
          <w:rFonts w:cs="Arial"/>
          <w:i/>
          <w:sz w:val="22"/>
          <w:szCs w:val="22"/>
          <w:lang w:eastAsia="es-UY"/>
        </w:rPr>
      </w:pPr>
    </w:p>
    <w:p w14:paraId="119A51D3" w14:textId="77777777" w:rsidR="00EC18EB" w:rsidRPr="00EC18EB" w:rsidRDefault="00EC18EB" w:rsidP="00EC18EB">
      <w:pPr>
        <w:jc w:val="both"/>
        <w:rPr>
          <w:rFonts w:cs="Arial"/>
          <w:i/>
          <w:sz w:val="22"/>
          <w:szCs w:val="22"/>
          <w:lang w:eastAsia="es-UY"/>
        </w:rPr>
      </w:pPr>
      <w:r w:rsidRPr="00EC18EB">
        <w:rPr>
          <w:rFonts w:cs="Arial"/>
          <w:i/>
          <w:sz w:val="22"/>
          <w:szCs w:val="22"/>
          <w:lang w:eastAsia="es-UY"/>
        </w:rPr>
        <w:t>D) Para las administradoras de fondos de ahorro previsional y administradoras de fondos de inversión la alícuota no podrá superar el 1 º/</w:t>
      </w:r>
      <w:proofErr w:type="spellStart"/>
      <w:r w:rsidRPr="00EC18EB">
        <w:rPr>
          <w:rFonts w:cs="Arial"/>
          <w:i/>
          <w:sz w:val="22"/>
          <w:szCs w:val="22"/>
          <w:lang w:eastAsia="es-UY"/>
        </w:rPr>
        <w:t>ooo</w:t>
      </w:r>
      <w:proofErr w:type="spellEnd"/>
      <w:r w:rsidRPr="00EC18EB">
        <w:rPr>
          <w:rFonts w:cs="Arial"/>
          <w:i/>
          <w:sz w:val="22"/>
          <w:szCs w:val="22"/>
          <w:lang w:eastAsia="es-UY"/>
        </w:rPr>
        <w:t xml:space="preserve"> (1 por diez mil) del promedio anual de los fondos administrados. </w:t>
      </w:r>
    </w:p>
    <w:p w14:paraId="6841CD83" w14:textId="77777777" w:rsidR="00EC18EB" w:rsidRPr="00EC18EB" w:rsidRDefault="00EC18EB" w:rsidP="00EC18EB">
      <w:pPr>
        <w:jc w:val="both"/>
        <w:rPr>
          <w:rFonts w:cs="Arial"/>
          <w:i/>
          <w:sz w:val="22"/>
          <w:szCs w:val="22"/>
          <w:lang w:eastAsia="es-UY"/>
        </w:rPr>
      </w:pPr>
    </w:p>
    <w:p w14:paraId="3F760DD4" w14:textId="77777777" w:rsidR="00EC18EB" w:rsidRPr="00EC18EB" w:rsidRDefault="00EC18EB" w:rsidP="00EC18EB">
      <w:pPr>
        <w:jc w:val="both"/>
        <w:rPr>
          <w:rFonts w:cs="Arial"/>
          <w:i/>
          <w:sz w:val="22"/>
          <w:szCs w:val="22"/>
          <w:lang w:eastAsia="es-UY"/>
        </w:rPr>
      </w:pPr>
      <w:r w:rsidRPr="00EC18EB">
        <w:rPr>
          <w:rFonts w:cs="Arial"/>
          <w:i/>
          <w:sz w:val="22"/>
          <w:szCs w:val="22"/>
          <w:lang w:eastAsia="es-UY"/>
        </w:rPr>
        <w:t>E) Para las Empresas Administradoras de Plataformas para Préstamos entre Personas la alícuota no podrá superar el 1 º/</w:t>
      </w:r>
      <w:proofErr w:type="spellStart"/>
      <w:r w:rsidRPr="00EC18EB">
        <w:rPr>
          <w:rFonts w:cs="Arial"/>
          <w:i/>
          <w:sz w:val="22"/>
          <w:szCs w:val="22"/>
          <w:lang w:eastAsia="es-UY"/>
        </w:rPr>
        <w:t>oooo</w:t>
      </w:r>
      <w:proofErr w:type="spellEnd"/>
      <w:r w:rsidRPr="00EC18EB">
        <w:rPr>
          <w:rFonts w:cs="Arial"/>
          <w:i/>
          <w:sz w:val="22"/>
          <w:szCs w:val="22"/>
          <w:lang w:eastAsia="es-UY"/>
        </w:rPr>
        <w:t xml:space="preserve"> (1 por cien mil) del promedio anual del volumen operativo. </w:t>
      </w:r>
    </w:p>
    <w:p w14:paraId="2EFD65CB" w14:textId="77777777" w:rsidR="00EC18EB" w:rsidRPr="00EC18EB" w:rsidRDefault="00EC18EB" w:rsidP="00EC18EB">
      <w:pPr>
        <w:jc w:val="both"/>
        <w:rPr>
          <w:rFonts w:cs="Arial"/>
          <w:i/>
          <w:sz w:val="22"/>
          <w:szCs w:val="22"/>
          <w:lang w:eastAsia="es-UY"/>
        </w:rPr>
      </w:pPr>
    </w:p>
    <w:p w14:paraId="4A36E62D" w14:textId="77777777" w:rsidR="00EC18EB" w:rsidRPr="00EC18EB" w:rsidRDefault="00EC18EB" w:rsidP="00EC18EB">
      <w:pPr>
        <w:jc w:val="both"/>
        <w:rPr>
          <w:rFonts w:cs="Arial"/>
          <w:i/>
          <w:sz w:val="22"/>
          <w:szCs w:val="22"/>
          <w:lang w:eastAsia="es-UY"/>
        </w:rPr>
      </w:pPr>
      <w:r w:rsidRPr="00EC18EB">
        <w:rPr>
          <w:rFonts w:cs="Arial"/>
          <w:i/>
          <w:sz w:val="22"/>
          <w:szCs w:val="22"/>
          <w:lang w:eastAsia="es-UY"/>
        </w:rPr>
        <w:t xml:space="preserve">F) Para el mercado de valores la alícuota no podrá superar: </w:t>
      </w:r>
    </w:p>
    <w:p w14:paraId="3729267D" w14:textId="77777777" w:rsidR="00EC18EB" w:rsidRPr="00EC18EB" w:rsidRDefault="00EC18EB" w:rsidP="00EC18EB">
      <w:pPr>
        <w:jc w:val="both"/>
        <w:rPr>
          <w:rFonts w:cs="Arial"/>
          <w:i/>
          <w:sz w:val="22"/>
          <w:szCs w:val="22"/>
          <w:lang w:eastAsia="es-UY"/>
        </w:rPr>
      </w:pPr>
    </w:p>
    <w:p w14:paraId="40B65098" w14:textId="77777777" w:rsidR="00EC18EB" w:rsidRPr="00EC18EB" w:rsidRDefault="00EC18EB" w:rsidP="00EC18EB">
      <w:pPr>
        <w:jc w:val="both"/>
        <w:rPr>
          <w:rFonts w:cs="Arial"/>
          <w:i/>
          <w:sz w:val="22"/>
          <w:szCs w:val="22"/>
          <w:lang w:eastAsia="es-UY"/>
        </w:rPr>
      </w:pPr>
      <w:r w:rsidRPr="00EC18EB">
        <w:rPr>
          <w:rFonts w:cs="Arial"/>
          <w:i/>
          <w:sz w:val="22"/>
          <w:szCs w:val="22"/>
          <w:lang w:eastAsia="es-UY"/>
        </w:rPr>
        <w:t>a. Bolsas de Valores y Empresas Administradoras de Plataformas de Financiamiento Colectivo: el 1 º/</w:t>
      </w:r>
      <w:proofErr w:type="spellStart"/>
      <w:r w:rsidRPr="00EC18EB">
        <w:rPr>
          <w:rFonts w:cs="Arial"/>
          <w:i/>
          <w:sz w:val="22"/>
          <w:szCs w:val="22"/>
          <w:lang w:eastAsia="es-UY"/>
        </w:rPr>
        <w:t>oooo</w:t>
      </w:r>
      <w:proofErr w:type="spellEnd"/>
      <w:r w:rsidRPr="00EC18EB">
        <w:rPr>
          <w:rFonts w:cs="Arial"/>
          <w:i/>
          <w:sz w:val="22"/>
          <w:szCs w:val="22"/>
          <w:lang w:eastAsia="es-UY"/>
        </w:rPr>
        <w:t xml:space="preserve"> (1 por cien mil) del promedio anual del volumen operativo. </w:t>
      </w:r>
    </w:p>
    <w:p w14:paraId="2D3EA020" w14:textId="77777777" w:rsidR="00EC18EB" w:rsidRPr="00EC18EB" w:rsidRDefault="00EC18EB" w:rsidP="00EC18EB">
      <w:pPr>
        <w:jc w:val="both"/>
        <w:rPr>
          <w:rFonts w:cs="Arial"/>
          <w:i/>
          <w:sz w:val="22"/>
          <w:szCs w:val="22"/>
          <w:lang w:eastAsia="es-UY"/>
        </w:rPr>
      </w:pPr>
    </w:p>
    <w:p w14:paraId="5691BB59" w14:textId="77777777" w:rsidR="00EC18EB" w:rsidRPr="00EC18EB" w:rsidRDefault="00EC18EB" w:rsidP="00EC18EB">
      <w:pPr>
        <w:jc w:val="both"/>
        <w:rPr>
          <w:rFonts w:cs="Arial"/>
          <w:i/>
          <w:sz w:val="22"/>
          <w:szCs w:val="22"/>
          <w:lang w:eastAsia="es-UY"/>
        </w:rPr>
      </w:pPr>
      <w:r w:rsidRPr="00EC18EB">
        <w:rPr>
          <w:rFonts w:cs="Arial"/>
          <w:i/>
          <w:sz w:val="22"/>
          <w:szCs w:val="22"/>
          <w:lang w:eastAsia="es-UY"/>
        </w:rPr>
        <w:t>b. Intermediarios de valores: el 2 º/</w:t>
      </w:r>
      <w:proofErr w:type="spellStart"/>
      <w:r w:rsidRPr="00EC18EB">
        <w:rPr>
          <w:rFonts w:cs="Arial"/>
          <w:i/>
          <w:sz w:val="22"/>
          <w:szCs w:val="22"/>
          <w:lang w:eastAsia="es-UY"/>
        </w:rPr>
        <w:t>ooo</w:t>
      </w:r>
      <w:proofErr w:type="spellEnd"/>
      <w:r w:rsidRPr="00EC18EB">
        <w:rPr>
          <w:rFonts w:cs="Arial"/>
          <w:i/>
          <w:sz w:val="22"/>
          <w:szCs w:val="22"/>
          <w:lang w:eastAsia="es-UY"/>
        </w:rPr>
        <w:t xml:space="preserve"> (2 por diez mil) del promedio anual de la cartera objeto de su actividad. </w:t>
      </w:r>
    </w:p>
    <w:p w14:paraId="2FCD295D" w14:textId="77777777" w:rsidR="00EC18EB" w:rsidRPr="00EC18EB" w:rsidRDefault="00EC18EB" w:rsidP="00EC18EB">
      <w:pPr>
        <w:jc w:val="both"/>
        <w:rPr>
          <w:rFonts w:cs="Arial"/>
          <w:i/>
          <w:sz w:val="22"/>
          <w:szCs w:val="22"/>
          <w:lang w:eastAsia="es-UY"/>
        </w:rPr>
      </w:pPr>
    </w:p>
    <w:p w14:paraId="6CB89B11" w14:textId="77777777" w:rsidR="00EC18EB" w:rsidRPr="00EC18EB" w:rsidRDefault="00EC18EB" w:rsidP="00EC18EB">
      <w:pPr>
        <w:jc w:val="both"/>
        <w:rPr>
          <w:rFonts w:cs="Arial"/>
          <w:i/>
          <w:sz w:val="22"/>
          <w:szCs w:val="22"/>
          <w:lang w:eastAsia="es-UY"/>
        </w:rPr>
      </w:pPr>
      <w:r w:rsidRPr="00EC18EB">
        <w:rPr>
          <w:rFonts w:cs="Arial"/>
          <w:i/>
          <w:sz w:val="22"/>
          <w:szCs w:val="22"/>
          <w:lang w:eastAsia="es-UY"/>
        </w:rPr>
        <w:t>c. Gestores de portafolio: el 3 º/</w:t>
      </w:r>
      <w:proofErr w:type="spellStart"/>
      <w:r w:rsidRPr="00EC18EB">
        <w:rPr>
          <w:rFonts w:cs="Arial"/>
          <w:i/>
          <w:sz w:val="22"/>
          <w:szCs w:val="22"/>
          <w:lang w:eastAsia="es-UY"/>
        </w:rPr>
        <w:t>oooo</w:t>
      </w:r>
      <w:proofErr w:type="spellEnd"/>
      <w:r w:rsidRPr="00EC18EB">
        <w:rPr>
          <w:rFonts w:cs="Arial"/>
          <w:i/>
          <w:sz w:val="22"/>
          <w:szCs w:val="22"/>
          <w:lang w:eastAsia="es-UY"/>
        </w:rPr>
        <w:t xml:space="preserve"> (3 por cien mil) del promedio anual de la cartera objeto de su actividad. </w:t>
      </w:r>
    </w:p>
    <w:p w14:paraId="0121C38E" w14:textId="77777777" w:rsidR="00EC18EB" w:rsidRPr="00EC18EB" w:rsidRDefault="00EC18EB" w:rsidP="00EC18EB">
      <w:pPr>
        <w:jc w:val="both"/>
        <w:rPr>
          <w:rFonts w:cs="Arial"/>
          <w:i/>
          <w:sz w:val="22"/>
          <w:szCs w:val="22"/>
          <w:lang w:eastAsia="es-UY"/>
        </w:rPr>
      </w:pPr>
    </w:p>
    <w:p w14:paraId="0757D31D" w14:textId="77777777" w:rsidR="00EC18EB" w:rsidRPr="00EC18EB" w:rsidRDefault="00EC18EB" w:rsidP="00EC18EB">
      <w:pPr>
        <w:jc w:val="both"/>
        <w:rPr>
          <w:rFonts w:cs="Arial"/>
          <w:i/>
          <w:sz w:val="22"/>
          <w:szCs w:val="22"/>
          <w:lang w:eastAsia="es-UY"/>
        </w:rPr>
      </w:pPr>
      <w:r w:rsidRPr="00EC18EB">
        <w:rPr>
          <w:rFonts w:cs="Arial"/>
          <w:i/>
          <w:sz w:val="22"/>
          <w:szCs w:val="22"/>
          <w:lang w:eastAsia="es-UY"/>
        </w:rPr>
        <w:t>d. Asesores de inversión y Representaciones: el 2 º/</w:t>
      </w:r>
      <w:proofErr w:type="spellStart"/>
      <w:r w:rsidRPr="00EC18EB">
        <w:rPr>
          <w:rFonts w:cs="Arial"/>
          <w:i/>
          <w:sz w:val="22"/>
          <w:szCs w:val="22"/>
          <w:lang w:eastAsia="es-UY"/>
        </w:rPr>
        <w:t>oooo</w:t>
      </w:r>
      <w:proofErr w:type="spellEnd"/>
      <w:r w:rsidRPr="00EC18EB">
        <w:rPr>
          <w:rFonts w:cs="Arial"/>
          <w:i/>
          <w:sz w:val="22"/>
          <w:szCs w:val="22"/>
          <w:lang w:eastAsia="es-UY"/>
        </w:rPr>
        <w:t xml:space="preserve"> (2 por cien mil) del promedio anual de la cartera objeto de su actividad. </w:t>
      </w:r>
    </w:p>
    <w:p w14:paraId="4F4ABFAD" w14:textId="77777777" w:rsidR="00EC18EB" w:rsidRPr="00EC18EB" w:rsidRDefault="00EC18EB" w:rsidP="00EC18EB">
      <w:pPr>
        <w:jc w:val="both"/>
        <w:rPr>
          <w:rFonts w:cs="Arial"/>
          <w:i/>
          <w:sz w:val="22"/>
          <w:szCs w:val="22"/>
          <w:lang w:eastAsia="es-UY"/>
        </w:rPr>
      </w:pPr>
    </w:p>
    <w:p w14:paraId="01A82169" w14:textId="77777777" w:rsidR="00EC18EB" w:rsidRPr="00EC18EB" w:rsidRDefault="00EC18EB" w:rsidP="00EC18EB">
      <w:pPr>
        <w:jc w:val="both"/>
        <w:rPr>
          <w:rFonts w:cs="Arial"/>
          <w:i/>
          <w:sz w:val="22"/>
          <w:szCs w:val="22"/>
          <w:lang w:eastAsia="es-UY"/>
        </w:rPr>
      </w:pPr>
      <w:r w:rsidRPr="00EC18EB">
        <w:rPr>
          <w:rFonts w:cs="Arial"/>
          <w:i/>
          <w:sz w:val="22"/>
          <w:szCs w:val="22"/>
          <w:lang w:eastAsia="es-UY"/>
        </w:rPr>
        <w:t xml:space="preserve">G) Los Emisores de valores de oferta pública pagarán una tasa fija de 6000 UI (unidades indexadas seis mil) anuales o su prorrata mensual, por emisión vigente inscripta en el registro de mercado de valores que lleva el Banco Central del Uruguay. </w:t>
      </w:r>
    </w:p>
    <w:p w14:paraId="2A1674F0" w14:textId="77777777" w:rsidR="00EC18EB" w:rsidRPr="00EC18EB" w:rsidRDefault="00EC18EB" w:rsidP="00EC18EB">
      <w:pPr>
        <w:jc w:val="both"/>
        <w:rPr>
          <w:rFonts w:cs="Arial"/>
          <w:i/>
          <w:sz w:val="22"/>
          <w:szCs w:val="22"/>
          <w:lang w:eastAsia="es-UY"/>
        </w:rPr>
      </w:pPr>
    </w:p>
    <w:p w14:paraId="3A90F315" w14:textId="77777777" w:rsidR="00EC18EB" w:rsidRPr="00EC18EB" w:rsidRDefault="00EC18EB" w:rsidP="00EC18EB">
      <w:pPr>
        <w:jc w:val="both"/>
        <w:rPr>
          <w:rFonts w:cs="Arial"/>
          <w:i/>
          <w:sz w:val="22"/>
          <w:szCs w:val="22"/>
          <w:lang w:eastAsia="es-UY"/>
        </w:rPr>
      </w:pPr>
      <w:r w:rsidRPr="00EC18EB">
        <w:rPr>
          <w:rFonts w:cs="Arial"/>
          <w:i/>
          <w:sz w:val="22"/>
          <w:szCs w:val="22"/>
          <w:lang w:eastAsia="es-UY"/>
        </w:rPr>
        <w:t>H) Para las empresas de servicios financieros la alícuota no podrá superar el 1 º/</w:t>
      </w:r>
      <w:proofErr w:type="spellStart"/>
      <w:r w:rsidRPr="00EC18EB">
        <w:rPr>
          <w:rFonts w:cs="Arial"/>
          <w:i/>
          <w:sz w:val="22"/>
          <w:szCs w:val="22"/>
          <w:lang w:eastAsia="es-UY"/>
        </w:rPr>
        <w:t>ooo</w:t>
      </w:r>
      <w:proofErr w:type="spellEnd"/>
      <w:r w:rsidRPr="00EC18EB">
        <w:rPr>
          <w:rFonts w:cs="Arial"/>
          <w:i/>
          <w:sz w:val="22"/>
          <w:szCs w:val="22"/>
          <w:lang w:eastAsia="es-UY"/>
        </w:rPr>
        <w:t xml:space="preserve"> (1 por diez mil) del promedio anual del volumen de operaciones reguladas. </w:t>
      </w:r>
    </w:p>
    <w:p w14:paraId="65CA2E14" w14:textId="77777777" w:rsidR="00EC18EB" w:rsidRPr="00EC18EB" w:rsidRDefault="00EC18EB" w:rsidP="00EC18EB">
      <w:pPr>
        <w:jc w:val="both"/>
        <w:rPr>
          <w:rFonts w:cs="Arial"/>
          <w:i/>
          <w:sz w:val="22"/>
          <w:szCs w:val="22"/>
          <w:lang w:eastAsia="es-UY"/>
        </w:rPr>
      </w:pPr>
    </w:p>
    <w:p w14:paraId="18569554" w14:textId="77777777" w:rsidR="00EC18EB" w:rsidRPr="00EC18EB" w:rsidRDefault="00EC18EB" w:rsidP="00EC18EB">
      <w:pPr>
        <w:jc w:val="both"/>
        <w:rPr>
          <w:rFonts w:cs="Arial"/>
          <w:i/>
          <w:sz w:val="22"/>
          <w:szCs w:val="22"/>
          <w:lang w:eastAsia="es-UY"/>
        </w:rPr>
      </w:pPr>
      <w:r w:rsidRPr="00EC18EB">
        <w:rPr>
          <w:rFonts w:cs="Arial"/>
          <w:i/>
          <w:sz w:val="22"/>
          <w:szCs w:val="22"/>
          <w:lang w:eastAsia="es-UY"/>
        </w:rPr>
        <w:t>I) Para las empresas de transferencias de fondos la alícuota no podrá superar el 2 º/</w:t>
      </w:r>
      <w:proofErr w:type="spellStart"/>
      <w:r w:rsidRPr="00EC18EB">
        <w:rPr>
          <w:rFonts w:cs="Arial"/>
          <w:i/>
          <w:sz w:val="22"/>
          <w:szCs w:val="22"/>
          <w:lang w:eastAsia="es-UY"/>
        </w:rPr>
        <w:t>ooo</w:t>
      </w:r>
      <w:proofErr w:type="spellEnd"/>
      <w:r w:rsidRPr="00EC18EB">
        <w:rPr>
          <w:rFonts w:cs="Arial"/>
          <w:i/>
          <w:sz w:val="22"/>
          <w:szCs w:val="22"/>
          <w:lang w:eastAsia="es-UY"/>
        </w:rPr>
        <w:t xml:space="preserve"> (2 por diez mil) del promedio anual del volumen de operaciones reguladas. </w:t>
      </w:r>
    </w:p>
    <w:p w14:paraId="4CAB65BF" w14:textId="77777777" w:rsidR="00EC18EB" w:rsidRPr="00EC18EB" w:rsidRDefault="00EC18EB" w:rsidP="00EC18EB">
      <w:pPr>
        <w:jc w:val="both"/>
        <w:rPr>
          <w:rFonts w:cs="Arial"/>
          <w:i/>
          <w:sz w:val="22"/>
          <w:szCs w:val="22"/>
          <w:lang w:eastAsia="es-UY"/>
        </w:rPr>
      </w:pPr>
    </w:p>
    <w:p w14:paraId="666B2CFF" w14:textId="77777777" w:rsidR="00EC18EB" w:rsidRPr="00EC18EB" w:rsidRDefault="00EC18EB" w:rsidP="00EC18EB">
      <w:pPr>
        <w:jc w:val="both"/>
        <w:rPr>
          <w:rFonts w:cs="Arial"/>
          <w:i/>
          <w:sz w:val="22"/>
          <w:szCs w:val="22"/>
          <w:lang w:eastAsia="es-UY"/>
        </w:rPr>
      </w:pPr>
      <w:r w:rsidRPr="00EC18EB">
        <w:rPr>
          <w:rFonts w:cs="Arial"/>
          <w:i/>
          <w:sz w:val="22"/>
          <w:szCs w:val="22"/>
          <w:lang w:eastAsia="es-UY"/>
        </w:rPr>
        <w:t>J) Para las Instituciones Emisoras de Dinero Electrónico, el 1‰ (uno por mil) de los fondos administrados.</w:t>
      </w:r>
    </w:p>
    <w:p w14:paraId="38AA1FF5" w14:textId="77777777" w:rsidR="00EC18EB" w:rsidRPr="00EC18EB" w:rsidRDefault="00EC18EB" w:rsidP="00EC18EB">
      <w:pPr>
        <w:jc w:val="both"/>
        <w:rPr>
          <w:rFonts w:cs="Arial"/>
          <w:i/>
          <w:sz w:val="22"/>
          <w:szCs w:val="22"/>
          <w:lang w:eastAsia="es-UY"/>
        </w:rPr>
      </w:pPr>
    </w:p>
    <w:p w14:paraId="7198D45D" w14:textId="77777777" w:rsidR="00EC18EB" w:rsidRPr="00EC18EB" w:rsidRDefault="00EC18EB" w:rsidP="00EC18EB">
      <w:pPr>
        <w:jc w:val="both"/>
        <w:rPr>
          <w:rFonts w:cs="Arial"/>
          <w:i/>
          <w:sz w:val="22"/>
          <w:szCs w:val="22"/>
          <w:lang w:eastAsia="es-UY"/>
        </w:rPr>
      </w:pPr>
      <w:r w:rsidRPr="00EC18EB">
        <w:rPr>
          <w:rFonts w:cs="Arial"/>
          <w:i/>
          <w:sz w:val="22"/>
          <w:szCs w:val="22"/>
          <w:lang w:eastAsia="es-UY"/>
        </w:rPr>
        <w:t xml:space="preserve">K) Para el resto de las instituciones reguladas se establecerá el monto imponible y alícuota correspondiente, considerando la que mejor se ajuste a la naturaleza de su actividad, su impacto en la estabilidad y solvencia del sistema financiero, guarde relación con el costo asociado de su regulación y supervisión y evite arbitrajes regulatorios, conforme a los siguientes marcos: </w:t>
      </w:r>
    </w:p>
    <w:p w14:paraId="0F17F63D" w14:textId="77777777" w:rsidR="00EC18EB" w:rsidRPr="00EC18EB" w:rsidRDefault="00EC18EB" w:rsidP="00EC18EB">
      <w:pPr>
        <w:jc w:val="both"/>
        <w:rPr>
          <w:rFonts w:cs="Arial"/>
          <w:i/>
          <w:sz w:val="22"/>
          <w:szCs w:val="22"/>
          <w:lang w:eastAsia="es-UY"/>
        </w:rPr>
      </w:pPr>
    </w:p>
    <w:p w14:paraId="254E3EC7" w14:textId="77777777" w:rsidR="00EC18EB" w:rsidRPr="00EC18EB" w:rsidRDefault="00EC18EB" w:rsidP="00EC18EB">
      <w:pPr>
        <w:jc w:val="both"/>
        <w:rPr>
          <w:rFonts w:cs="Arial"/>
          <w:i/>
          <w:sz w:val="22"/>
          <w:szCs w:val="22"/>
          <w:lang w:eastAsia="es-UY"/>
        </w:rPr>
      </w:pPr>
      <w:r w:rsidRPr="00EC18EB">
        <w:rPr>
          <w:rFonts w:cs="Arial"/>
          <w:i/>
          <w:sz w:val="22"/>
          <w:szCs w:val="22"/>
          <w:lang w:eastAsia="es-UY"/>
        </w:rPr>
        <w:t>a. 2 º/</w:t>
      </w:r>
      <w:proofErr w:type="spellStart"/>
      <w:r w:rsidRPr="00EC18EB">
        <w:rPr>
          <w:rFonts w:cs="Arial"/>
          <w:i/>
          <w:sz w:val="22"/>
          <w:szCs w:val="22"/>
          <w:lang w:eastAsia="es-UY"/>
        </w:rPr>
        <w:t>oo</w:t>
      </w:r>
      <w:proofErr w:type="spellEnd"/>
      <w:r w:rsidRPr="00EC18EB">
        <w:rPr>
          <w:rFonts w:cs="Arial"/>
          <w:i/>
          <w:sz w:val="22"/>
          <w:szCs w:val="22"/>
          <w:lang w:eastAsia="es-UY"/>
        </w:rPr>
        <w:t xml:space="preserve"> (dos por mil) del promedio anual del total de los activos propios que administren. </w:t>
      </w:r>
    </w:p>
    <w:p w14:paraId="45CB301C" w14:textId="77777777" w:rsidR="00EC18EB" w:rsidRPr="00EC18EB" w:rsidRDefault="00EC18EB" w:rsidP="00EC18EB">
      <w:pPr>
        <w:jc w:val="both"/>
        <w:rPr>
          <w:rFonts w:cs="Arial"/>
          <w:i/>
          <w:sz w:val="22"/>
          <w:szCs w:val="22"/>
          <w:lang w:eastAsia="es-UY"/>
        </w:rPr>
      </w:pPr>
    </w:p>
    <w:p w14:paraId="1F017784" w14:textId="77777777" w:rsidR="00EC18EB" w:rsidRPr="00EC18EB" w:rsidRDefault="00EC18EB" w:rsidP="00EC18EB">
      <w:pPr>
        <w:jc w:val="both"/>
        <w:rPr>
          <w:rFonts w:cs="Arial"/>
          <w:i/>
          <w:sz w:val="22"/>
          <w:szCs w:val="22"/>
          <w:lang w:eastAsia="es-UY"/>
        </w:rPr>
      </w:pPr>
      <w:r w:rsidRPr="00EC18EB">
        <w:rPr>
          <w:rFonts w:cs="Arial"/>
          <w:i/>
          <w:sz w:val="22"/>
          <w:szCs w:val="22"/>
          <w:lang w:eastAsia="es-UY"/>
        </w:rPr>
        <w:t>b. 2 º/</w:t>
      </w:r>
      <w:proofErr w:type="spellStart"/>
      <w:r w:rsidRPr="00EC18EB">
        <w:rPr>
          <w:rFonts w:cs="Arial"/>
          <w:i/>
          <w:sz w:val="22"/>
          <w:szCs w:val="22"/>
          <w:lang w:eastAsia="es-UY"/>
        </w:rPr>
        <w:t>oo</w:t>
      </w:r>
      <w:proofErr w:type="spellEnd"/>
      <w:r w:rsidRPr="00EC18EB">
        <w:rPr>
          <w:rFonts w:cs="Arial"/>
          <w:i/>
          <w:sz w:val="22"/>
          <w:szCs w:val="22"/>
          <w:lang w:eastAsia="es-UY"/>
        </w:rPr>
        <w:t xml:space="preserve"> (dos por mil) de los ingresos brutos anuales. </w:t>
      </w:r>
    </w:p>
    <w:p w14:paraId="1652D886" w14:textId="77777777" w:rsidR="00EC18EB" w:rsidRPr="00EC18EB" w:rsidRDefault="00EC18EB" w:rsidP="00EC18EB">
      <w:pPr>
        <w:jc w:val="both"/>
        <w:rPr>
          <w:rFonts w:cs="Arial"/>
          <w:i/>
          <w:sz w:val="22"/>
          <w:szCs w:val="22"/>
          <w:lang w:eastAsia="es-UY"/>
        </w:rPr>
      </w:pPr>
    </w:p>
    <w:p w14:paraId="034950CB" w14:textId="77777777" w:rsidR="00EC18EB" w:rsidRPr="00EC18EB" w:rsidRDefault="00EC18EB" w:rsidP="00EC18EB">
      <w:pPr>
        <w:jc w:val="both"/>
        <w:rPr>
          <w:rFonts w:cs="Arial"/>
          <w:i/>
          <w:sz w:val="22"/>
          <w:szCs w:val="22"/>
          <w:lang w:eastAsia="es-UY"/>
        </w:rPr>
      </w:pPr>
      <w:r w:rsidRPr="00EC18EB">
        <w:rPr>
          <w:rFonts w:cs="Arial"/>
          <w:i/>
          <w:sz w:val="22"/>
          <w:szCs w:val="22"/>
          <w:lang w:eastAsia="es-UY"/>
        </w:rPr>
        <w:t>c. 1 º/</w:t>
      </w:r>
      <w:proofErr w:type="spellStart"/>
      <w:r w:rsidRPr="00EC18EB">
        <w:rPr>
          <w:rFonts w:cs="Arial"/>
          <w:i/>
          <w:sz w:val="22"/>
          <w:szCs w:val="22"/>
          <w:lang w:eastAsia="es-UY"/>
        </w:rPr>
        <w:t>ooo</w:t>
      </w:r>
      <w:proofErr w:type="spellEnd"/>
      <w:r w:rsidRPr="00EC18EB">
        <w:rPr>
          <w:rFonts w:cs="Arial"/>
          <w:i/>
          <w:sz w:val="22"/>
          <w:szCs w:val="22"/>
          <w:lang w:eastAsia="es-UY"/>
        </w:rPr>
        <w:t xml:space="preserve"> (1 por diez mil) del promedio anual de los fondos administrados. </w:t>
      </w:r>
    </w:p>
    <w:p w14:paraId="2EAD337E" w14:textId="77777777" w:rsidR="00EC18EB" w:rsidRPr="00EC18EB" w:rsidRDefault="00EC18EB" w:rsidP="00EC18EB">
      <w:pPr>
        <w:jc w:val="both"/>
        <w:rPr>
          <w:rFonts w:cs="Arial"/>
          <w:i/>
          <w:sz w:val="22"/>
          <w:szCs w:val="22"/>
          <w:lang w:eastAsia="es-UY"/>
        </w:rPr>
      </w:pPr>
    </w:p>
    <w:p w14:paraId="459D4802" w14:textId="77777777" w:rsidR="00EC18EB" w:rsidRPr="00EC18EB" w:rsidRDefault="00EC18EB" w:rsidP="00EC18EB">
      <w:pPr>
        <w:jc w:val="both"/>
        <w:rPr>
          <w:rFonts w:cs="Arial"/>
          <w:i/>
          <w:sz w:val="22"/>
          <w:szCs w:val="22"/>
          <w:lang w:eastAsia="es-UY"/>
        </w:rPr>
      </w:pPr>
      <w:r w:rsidRPr="00EC18EB">
        <w:rPr>
          <w:rFonts w:cs="Arial"/>
          <w:i/>
          <w:sz w:val="22"/>
          <w:szCs w:val="22"/>
          <w:lang w:eastAsia="es-UY"/>
        </w:rPr>
        <w:t>d. 2 º/</w:t>
      </w:r>
      <w:proofErr w:type="spellStart"/>
      <w:r w:rsidRPr="00EC18EB">
        <w:rPr>
          <w:rFonts w:cs="Arial"/>
          <w:i/>
          <w:sz w:val="22"/>
          <w:szCs w:val="22"/>
          <w:lang w:eastAsia="es-UY"/>
        </w:rPr>
        <w:t>ooo</w:t>
      </w:r>
      <w:proofErr w:type="spellEnd"/>
      <w:r w:rsidRPr="00EC18EB">
        <w:rPr>
          <w:rFonts w:cs="Arial"/>
          <w:i/>
          <w:sz w:val="22"/>
          <w:szCs w:val="22"/>
          <w:lang w:eastAsia="es-UY"/>
        </w:rPr>
        <w:t xml:space="preserve"> (2 por diez mil) del promedio anual de la cartera objeto de su actividad. </w:t>
      </w:r>
    </w:p>
    <w:p w14:paraId="3DE06066" w14:textId="77777777" w:rsidR="00EC18EB" w:rsidRPr="00EC18EB" w:rsidRDefault="00EC18EB" w:rsidP="00EC18EB">
      <w:pPr>
        <w:jc w:val="both"/>
        <w:rPr>
          <w:rFonts w:cs="Arial"/>
          <w:i/>
          <w:sz w:val="22"/>
          <w:szCs w:val="22"/>
          <w:lang w:eastAsia="es-UY"/>
        </w:rPr>
      </w:pPr>
    </w:p>
    <w:p w14:paraId="63DF0391" w14:textId="77777777" w:rsidR="00EC18EB" w:rsidRPr="00EC18EB" w:rsidRDefault="00EC18EB" w:rsidP="00EC18EB">
      <w:pPr>
        <w:jc w:val="both"/>
        <w:rPr>
          <w:rFonts w:cs="Arial"/>
          <w:i/>
          <w:sz w:val="22"/>
          <w:szCs w:val="22"/>
          <w:lang w:eastAsia="es-UY"/>
        </w:rPr>
      </w:pPr>
      <w:r w:rsidRPr="00EC18EB">
        <w:rPr>
          <w:rFonts w:cs="Arial"/>
          <w:i/>
          <w:sz w:val="22"/>
          <w:szCs w:val="22"/>
          <w:lang w:eastAsia="es-UY"/>
        </w:rPr>
        <w:t>e. 2 º/</w:t>
      </w:r>
      <w:proofErr w:type="spellStart"/>
      <w:r w:rsidRPr="00EC18EB">
        <w:rPr>
          <w:rFonts w:cs="Arial"/>
          <w:i/>
          <w:sz w:val="22"/>
          <w:szCs w:val="22"/>
          <w:lang w:eastAsia="es-UY"/>
        </w:rPr>
        <w:t>ooo</w:t>
      </w:r>
      <w:proofErr w:type="spellEnd"/>
      <w:r w:rsidRPr="00EC18EB">
        <w:rPr>
          <w:rFonts w:cs="Arial"/>
          <w:i/>
          <w:sz w:val="22"/>
          <w:szCs w:val="22"/>
          <w:lang w:eastAsia="es-UY"/>
        </w:rPr>
        <w:t xml:space="preserve"> (2 por diez mil) del promedio anual del volumen de operaciones reguladas. </w:t>
      </w:r>
    </w:p>
    <w:p w14:paraId="7D98BBB2" w14:textId="77777777" w:rsidR="00EC18EB" w:rsidRPr="00EC18EB" w:rsidRDefault="00EC18EB" w:rsidP="00EC18EB">
      <w:pPr>
        <w:jc w:val="both"/>
        <w:rPr>
          <w:rFonts w:cs="Arial"/>
          <w:i/>
          <w:sz w:val="22"/>
          <w:szCs w:val="22"/>
          <w:lang w:eastAsia="es-UY"/>
        </w:rPr>
      </w:pPr>
    </w:p>
    <w:p w14:paraId="67659CB0" w14:textId="77777777" w:rsidR="00EC18EB" w:rsidRPr="00EC18EB" w:rsidRDefault="00EC18EB" w:rsidP="00EC18EB">
      <w:pPr>
        <w:jc w:val="both"/>
        <w:rPr>
          <w:rFonts w:cs="Arial"/>
          <w:i/>
          <w:sz w:val="22"/>
          <w:szCs w:val="22"/>
          <w:lang w:eastAsia="es-UY"/>
        </w:rPr>
      </w:pPr>
      <w:r w:rsidRPr="00EC18EB">
        <w:rPr>
          <w:rFonts w:cs="Arial"/>
          <w:i/>
          <w:sz w:val="22"/>
          <w:szCs w:val="22"/>
          <w:lang w:eastAsia="es-UY"/>
        </w:rPr>
        <w:t xml:space="preserve">Sin perjuicio de lo dispuesto en los literales precedentes el Poder Ejecutivo podrá establecer montos mínimos y máximos de la referida tasa en atención a la naturaleza de las actividades reguladas. </w:t>
      </w:r>
    </w:p>
    <w:p w14:paraId="4039040C" w14:textId="77777777" w:rsidR="00EC18EB" w:rsidRPr="00EC18EB" w:rsidRDefault="00EC18EB" w:rsidP="00EC18EB">
      <w:pPr>
        <w:jc w:val="both"/>
        <w:rPr>
          <w:rFonts w:cs="Arial"/>
          <w:i/>
          <w:sz w:val="22"/>
          <w:szCs w:val="22"/>
          <w:lang w:eastAsia="es-UY"/>
        </w:rPr>
      </w:pPr>
    </w:p>
    <w:p w14:paraId="665D20B7" w14:textId="77777777" w:rsidR="00EC18EB" w:rsidRPr="00EC18EB" w:rsidRDefault="00EC18EB" w:rsidP="00EC18EB">
      <w:pPr>
        <w:jc w:val="both"/>
        <w:rPr>
          <w:rFonts w:cs="Arial"/>
          <w:sz w:val="22"/>
          <w:szCs w:val="22"/>
        </w:rPr>
      </w:pPr>
      <w:r w:rsidRPr="00EC18EB">
        <w:rPr>
          <w:rFonts w:cs="Arial"/>
          <w:sz w:val="22"/>
          <w:szCs w:val="22"/>
          <w:u w:val="single"/>
        </w:rPr>
        <w:t>Artículo 5º</w:t>
      </w:r>
      <w:r w:rsidRPr="00EC18EB">
        <w:rPr>
          <w:rFonts w:cs="Arial"/>
          <w:sz w:val="22"/>
          <w:szCs w:val="22"/>
        </w:rPr>
        <w:t xml:space="preserve">.- Sustituyese el artículo 20 de la Ley Nº 15.921, de 17 de diciembre de 1987, con las modificaciones incorporadas por la Ley Nº 19.566 de 8 de diciembre de 2017, el que quedará redactado de la siguiente manera: </w:t>
      </w:r>
    </w:p>
    <w:p w14:paraId="1DBCFCF3" w14:textId="77777777" w:rsidR="00EC18EB" w:rsidRPr="00EC18EB" w:rsidRDefault="00EC18EB" w:rsidP="00EC18EB">
      <w:pPr>
        <w:jc w:val="both"/>
        <w:rPr>
          <w:rFonts w:cs="Arial"/>
          <w:sz w:val="22"/>
          <w:szCs w:val="22"/>
        </w:rPr>
      </w:pPr>
    </w:p>
    <w:p w14:paraId="7640C267" w14:textId="77777777" w:rsidR="00EC18EB" w:rsidRPr="00EC18EB" w:rsidRDefault="00EC18EB" w:rsidP="00EC18EB">
      <w:pPr>
        <w:jc w:val="both"/>
        <w:rPr>
          <w:rFonts w:cs="Arial"/>
          <w:i/>
          <w:sz w:val="22"/>
          <w:szCs w:val="22"/>
          <w:lang w:eastAsia="es-UY"/>
        </w:rPr>
      </w:pPr>
      <w:r w:rsidRPr="00EC18EB">
        <w:rPr>
          <w:rFonts w:cs="Arial"/>
          <w:i/>
          <w:sz w:val="22"/>
          <w:szCs w:val="22"/>
          <w:lang w:eastAsia="es-UY"/>
        </w:rPr>
        <w:t xml:space="preserve">ARTÍCULO 20. No estarán comprendidas en las precedentes exenciones tributarias las contribuciones especiales de seguridad social y las prestaciones legales de carácter pecuniario establecidas a favor de personas de derecho público no estatales de seguridad social. </w:t>
      </w:r>
    </w:p>
    <w:p w14:paraId="2D6ED83D" w14:textId="77777777" w:rsidR="00EC18EB" w:rsidRPr="00EC18EB" w:rsidRDefault="00EC18EB" w:rsidP="00EC18EB">
      <w:pPr>
        <w:jc w:val="both"/>
        <w:rPr>
          <w:rFonts w:cs="Arial"/>
          <w:i/>
          <w:sz w:val="22"/>
          <w:szCs w:val="22"/>
          <w:lang w:eastAsia="es-UY"/>
        </w:rPr>
      </w:pPr>
    </w:p>
    <w:p w14:paraId="106A6884" w14:textId="77777777" w:rsidR="00EC18EB" w:rsidRPr="00EC18EB" w:rsidRDefault="00EC18EB" w:rsidP="00EC18EB">
      <w:pPr>
        <w:jc w:val="both"/>
        <w:rPr>
          <w:rFonts w:cs="Arial"/>
          <w:i/>
          <w:sz w:val="22"/>
          <w:szCs w:val="22"/>
          <w:lang w:eastAsia="es-UY"/>
        </w:rPr>
      </w:pPr>
      <w:r w:rsidRPr="00EC18EB">
        <w:rPr>
          <w:rFonts w:cs="Arial"/>
          <w:i/>
          <w:sz w:val="22"/>
          <w:szCs w:val="22"/>
          <w:lang w:eastAsia="es-UY"/>
        </w:rPr>
        <w:t xml:space="preserve">Cuando el personal extranjero que trabaje en la zona franca exprese por escrito su deseo de no beneficiarse del sistema de seguridad social vigente en la República, no existirá obligación de realizar los aportes correspondientes. </w:t>
      </w:r>
    </w:p>
    <w:p w14:paraId="5D3846F3" w14:textId="77777777" w:rsidR="00EC18EB" w:rsidRPr="00EC18EB" w:rsidRDefault="00EC18EB" w:rsidP="00EC18EB">
      <w:pPr>
        <w:jc w:val="both"/>
        <w:rPr>
          <w:rFonts w:cs="Arial"/>
          <w:i/>
          <w:sz w:val="22"/>
          <w:szCs w:val="22"/>
          <w:lang w:eastAsia="es-UY"/>
        </w:rPr>
      </w:pPr>
    </w:p>
    <w:p w14:paraId="5306BE8E" w14:textId="77777777" w:rsidR="00EC18EB" w:rsidRPr="00EC18EB" w:rsidRDefault="00EC18EB" w:rsidP="00EC18EB">
      <w:pPr>
        <w:jc w:val="both"/>
        <w:rPr>
          <w:rFonts w:cs="Arial"/>
          <w:i/>
          <w:sz w:val="22"/>
          <w:szCs w:val="22"/>
          <w:lang w:eastAsia="es-UY"/>
        </w:rPr>
      </w:pPr>
      <w:r w:rsidRPr="00EC18EB">
        <w:rPr>
          <w:rFonts w:cs="Arial"/>
          <w:i/>
          <w:sz w:val="22"/>
          <w:szCs w:val="22"/>
          <w:lang w:eastAsia="es-UY"/>
        </w:rPr>
        <w:t xml:space="preserve">Tampoco estará comprendida en las precedentes exenciones tributarias la tasa de control regulatorio del sistema financiero. </w:t>
      </w:r>
    </w:p>
    <w:p w14:paraId="44C9251A" w14:textId="77777777" w:rsidR="00EC18EB" w:rsidRPr="00EC18EB" w:rsidRDefault="00EC18EB" w:rsidP="00EC18EB">
      <w:pPr>
        <w:jc w:val="both"/>
        <w:rPr>
          <w:rFonts w:cs="Arial"/>
          <w:i/>
          <w:sz w:val="22"/>
          <w:szCs w:val="22"/>
          <w:lang w:eastAsia="es-UY"/>
        </w:rPr>
      </w:pPr>
    </w:p>
    <w:p w14:paraId="73A13647" w14:textId="77777777" w:rsidR="00EC18EB" w:rsidRPr="00EC18EB" w:rsidRDefault="00EC18EB" w:rsidP="00EC18EB">
      <w:pPr>
        <w:jc w:val="both"/>
        <w:rPr>
          <w:rFonts w:cs="Arial"/>
          <w:i/>
          <w:sz w:val="22"/>
          <w:szCs w:val="22"/>
          <w:lang w:eastAsia="es-UY"/>
        </w:rPr>
      </w:pPr>
      <w:r w:rsidRPr="00EC18EB">
        <w:rPr>
          <w:rFonts w:cs="Arial"/>
          <w:i/>
          <w:sz w:val="22"/>
          <w:szCs w:val="22"/>
          <w:lang w:eastAsia="es-UY"/>
        </w:rPr>
        <w:t xml:space="preserve">Las rentas derivadas de la explotación de derechos de la propiedad intelectual y otros bienes intangibles estarán exentas siempre que provengan de actividades de investigación y desarrollo realizadas dentro de las zonas francas. </w:t>
      </w:r>
    </w:p>
    <w:p w14:paraId="0AAC27D9" w14:textId="77777777" w:rsidR="00EC18EB" w:rsidRPr="00EC18EB" w:rsidRDefault="00EC18EB" w:rsidP="00EC18EB">
      <w:pPr>
        <w:jc w:val="both"/>
        <w:rPr>
          <w:rFonts w:cs="Arial"/>
          <w:i/>
          <w:sz w:val="22"/>
          <w:szCs w:val="22"/>
          <w:lang w:eastAsia="es-UY"/>
        </w:rPr>
      </w:pPr>
    </w:p>
    <w:p w14:paraId="09817299" w14:textId="77777777" w:rsidR="00EC18EB" w:rsidRPr="00EC18EB" w:rsidRDefault="00EC18EB" w:rsidP="00EC18EB">
      <w:pPr>
        <w:jc w:val="both"/>
        <w:rPr>
          <w:rFonts w:cs="Arial"/>
          <w:i/>
          <w:sz w:val="22"/>
          <w:szCs w:val="22"/>
          <w:lang w:eastAsia="es-UY"/>
        </w:rPr>
      </w:pPr>
      <w:r w:rsidRPr="00EC18EB">
        <w:rPr>
          <w:rFonts w:cs="Arial"/>
          <w:i/>
          <w:sz w:val="22"/>
          <w:szCs w:val="22"/>
          <w:lang w:eastAsia="es-UY"/>
        </w:rPr>
        <w:t xml:space="preserve">Cuando los referidos bienes se encuentren amparados por la normativa de protección y registro de los derechos de propiedad intelectual, las rentas derivadas de los mismos estarán exoneradas exclusivamente por el monto correspondiente a la relación que guarden los gastos o costos directos incurridos para desarrollar dichos activos incrementados en un 30% (treinta por ciento), sobre los gastos o costos totales incurridos para desarrollarlos. A tales efectos, se considerará en el numerador, entre otros, los gastos o costos incurridos por el desarrollador y los servicios contratados con partes no vinculadas o con partes residentes vinculadas, no estando comprendidos los gastos o costos correspondientes a la concesión de uso o adquisición de derechos de propiedad intelectual, ni los servicios contratados con partes vinculadas no residentes. El Poder Ejecutivo establecerá los términos y condiciones en que se aplicará la presente exoneración. </w:t>
      </w:r>
    </w:p>
    <w:p w14:paraId="461604FD" w14:textId="77777777" w:rsidR="00EC18EB" w:rsidRPr="00EC18EB" w:rsidRDefault="00EC18EB" w:rsidP="00EC18EB">
      <w:pPr>
        <w:jc w:val="both"/>
        <w:rPr>
          <w:rFonts w:cs="Arial"/>
          <w:i/>
          <w:sz w:val="22"/>
          <w:szCs w:val="22"/>
          <w:lang w:eastAsia="es-UY"/>
        </w:rPr>
      </w:pPr>
    </w:p>
    <w:p w14:paraId="55CA3A98" w14:textId="77777777" w:rsidR="00EC18EB" w:rsidRPr="00EC18EB" w:rsidRDefault="00EC18EB" w:rsidP="00EC18EB">
      <w:pPr>
        <w:jc w:val="both"/>
        <w:rPr>
          <w:rFonts w:cs="Arial"/>
          <w:i/>
          <w:sz w:val="22"/>
          <w:szCs w:val="22"/>
          <w:lang w:eastAsia="es-UY"/>
        </w:rPr>
      </w:pPr>
      <w:r w:rsidRPr="00EC18EB">
        <w:rPr>
          <w:rFonts w:cs="Arial"/>
          <w:i/>
          <w:sz w:val="22"/>
          <w:szCs w:val="22"/>
          <w:lang w:eastAsia="es-UY"/>
        </w:rPr>
        <w:t>Disposición Transitoria. - La exclusión de la Tasa de Control Regulatorio del Sistema Financiero de las exenciones tributarias previstas en el artículo 19 de la Ley Nº 15.921, se aplicará a los regulados o supervisados del Banco Central del Uruguay que adquieran la calidad de usuarios de Zonas Francas con posterioridad a la entrada en vigencia de la presente Ley.”</w:t>
      </w:r>
    </w:p>
    <w:p w14:paraId="4A36CD82" w14:textId="77777777" w:rsidR="00EC18EB" w:rsidRPr="00EC18EB" w:rsidRDefault="00EC18EB" w:rsidP="00EC18EB">
      <w:pPr>
        <w:jc w:val="both"/>
        <w:rPr>
          <w:rFonts w:cs="Arial"/>
          <w:i/>
          <w:sz w:val="22"/>
          <w:szCs w:val="22"/>
          <w:lang w:eastAsia="es-UY"/>
        </w:rPr>
      </w:pPr>
    </w:p>
    <w:p w14:paraId="3376CA78" w14:textId="77777777" w:rsidR="00EC18EB" w:rsidRPr="00EC18EB" w:rsidRDefault="00EC18EB" w:rsidP="00EC18EB">
      <w:pPr>
        <w:rPr>
          <w:sz w:val="22"/>
          <w:szCs w:val="22"/>
        </w:rPr>
      </w:pPr>
    </w:p>
    <w:p w14:paraId="6F423A0D" w14:textId="77777777" w:rsidR="00EC18EB" w:rsidRPr="00EC18EB" w:rsidRDefault="00EC18EB" w:rsidP="00EC18EB">
      <w:pPr>
        <w:rPr>
          <w:b/>
          <w:i/>
          <w:sz w:val="22"/>
          <w:szCs w:val="22"/>
          <w:u w:val="single"/>
        </w:rPr>
      </w:pPr>
      <w:r w:rsidRPr="00EC18EB">
        <w:rPr>
          <w:b/>
          <w:i/>
          <w:sz w:val="22"/>
          <w:szCs w:val="22"/>
          <w:u w:val="single"/>
        </w:rPr>
        <w:t>ANTE PROYECTO DE LEY MODIFICATIVO DE LA 19.210</w:t>
      </w:r>
    </w:p>
    <w:p w14:paraId="5ABA0A78" w14:textId="77777777" w:rsidR="00EC18EB" w:rsidRPr="00EC18EB" w:rsidRDefault="00EC18EB" w:rsidP="00EC18EB">
      <w:pPr>
        <w:rPr>
          <w:sz w:val="22"/>
          <w:szCs w:val="22"/>
        </w:rPr>
      </w:pPr>
    </w:p>
    <w:p w14:paraId="2E308047" w14:textId="77777777" w:rsidR="00EC18EB" w:rsidRPr="00EC18EB" w:rsidRDefault="00EC18EB" w:rsidP="00EC18EB">
      <w:pPr>
        <w:spacing w:before="120"/>
        <w:jc w:val="both"/>
        <w:rPr>
          <w:sz w:val="22"/>
          <w:szCs w:val="22"/>
        </w:rPr>
      </w:pPr>
      <w:r w:rsidRPr="00EC18EB">
        <w:rPr>
          <w:sz w:val="22"/>
          <w:szCs w:val="22"/>
          <w:u w:val="single"/>
        </w:rPr>
        <w:t>Artículo 1</w:t>
      </w:r>
      <w:r w:rsidRPr="00EC18EB">
        <w:rPr>
          <w:sz w:val="22"/>
          <w:szCs w:val="22"/>
        </w:rPr>
        <w:t xml:space="preserve">.- Sustitúyase el artículo 6 de la Ley N° 19.210 de 24 de abril de 2014, por el siguiente: </w:t>
      </w:r>
    </w:p>
    <w:p w14:paraId="15B5DFBD" w14:textId="77777777" w:rsidR="00EC18EB" w:rsidRPr="00EC18EB" w:rsidRDefault="00EC18EB" w:rsidP="00EC18EB">
      <w:pPr>
        <w:spacing w:before="120"/>
        <w:jc w:val="both"/>
        <w:rPr>
          <w:i/>
          <w:sz w:val="22"/>
          <w:szCs w:val="22"/>
        </w:rPr>
      </w:pPr>
      <w:r w:rsidRPr="00EC18EB">
        <w:rPr>
          <w:i/>
          <w:sz w:val="22"/>
          <w:szCs w:val="22"/>
        </w:rPr>
        <w:t>ARTÍCULO 6°. (Objeto</w:t>
      </w:r>
      <w:proofErr w:type="gramStart"/>
      <w:r w:rsidRPr="00EC18EB">
        <w:rPr>
          <w:i/>
          <w:sz w:val="22"/>
          <w:szCs w:val="22"/>
        </w:rPr>
        <w:t>).-</w:t>
      </w:r>
      <w:proofErr w:type="gramEnd"/>
      <w:r w:rsidRPr="00EC18EB">
        <w:rPr>
          <w:i/>
          <w:sz w:val="22"/>
          <w:szCs w:val="22"/>
        </w:rPr>
        <w:t xml:space="preserve"> Las instituciones emisoras de dinero electrónico tendrán como objeto el indicado en el artículo 3° de la presente ley, pudiendo además brindar los servicios de pago a los que refiere el Título III de la presente ley, en los términos previstos en el mismo, así como las demás actividades que el Banco Central del Uruguay les autorice o exija de acuerdo con sus facultades. En ningún caso, podrán realizar actividades de intermediación financiera, captar depósitos ni otorgar créditos.</w:t>
      </w:r>
    </w:p>
    <w:p w14:paraId="7D55151F" w14:textId="77777777" w:rsidR="00EC18EB" w:rsidRPr="00EC18EB" w:rsidRDefault="00EC18EB" w:rsidP="00EC18EB">
      <w:pPr>
        <w:spacing w:before="120"/>
        <w:jc w:val="both"/>
        <w:rPr>
          <w:i/>
          <w:sz w:val="22"/>
          <w:szCs w:val="22"/>
        </w:rPr>
      </w:pPr>
      <w:r w:rsidRPr="00EC18EB">
        <w:rPr>
          <w:i/>
          <w:sz w:val="22"/>
          <w:szCs w:val="22"/>
        </w:rPr>
        <w:t xml:space="preserve">No se entenderá por otorgamiento de crédito a los efectos de lo dispuesto en el inciso anterior la acreditación de fondos al instrumento de dinero electrónico de sus clientes - sin cargo alguno para éstos - que las instituciones emisoras de dinero electrónico efectúen por el término que fije el Banco Central del Uruguay con un máximo de dos días hábiles que pueden insumir los procedimientos necesarios para que los fondos cargados al instrumento ingresen a las cuentas de dichas instituciones. </w:t>
      </w:r>
    </w:p>
    <w:p w14:paraId="441840B2" w14:textId="77777777" w:rsidR="00EC18EB" w:rsidRPr="00EC18EB" w:rsidRDefault="00EC18EB" w:rsidP="00EC18EB">
      <w:pPr>
        <w:spacing w:before="120"/>
        <w:jc w:val="both"/>
        <w:rPr>
          <w:i/>
          <w:sz w:val="22"/>
          <w:szCs w:val="22"/>
        </w:rPr>
      </w:pPr>
      <w:r w:rsidRPr="00EC18EB">
        <w:rPr>
          <w:i/>
          <w:sz w:val="22"/>
          <w:szCs w:val="22"/>
        </w:rPr>
        <w:t xml:space="preserve">Durante el término y a los solos efectos de dicha acreditación no será exigible la simultaneidad entre emisión de dinero electrónico y recepción de los fondos por parte del emisor establecida en el literal c) del artículo 2 de la presente Ley. </w:t>
      </w:r>
    </w:p>
    <w:p w14:paraId="7176BF02" w14:textId="77777777" w:rsidR="00EC18EB" w:rsidRPr="00EC18EB" w:rsidRDefault="00EC18EB" w:rsidP="00EC18EB">
      <w:pPr>
        <w:spacing w:before="120"/>
        <w:jc w:val="both"/>
        <w:rPr>
          <w:sz w:val="22"/>
          <w:szCs w:val="22"/>
        </w:rPr>
      </w:pPr>
      <w:r w:rsidRPr="00EC18EB">
        <w:rPr>
          <w:i/>
          <w:sz w:val="22"/>
          <w:szCs w:val="22"/>
        </w:rPr>
        <w:t>Exceptuase de la prohibición de otorgar crédito establecida en el primer inciso, a los adelantos con capital propio que las instituciones emisoras de dinero electrónico acuerden realizar a sus clientes por el período que insumen los procedimientos de liquidación de las colocaciones o inversiones que los titulares de los referidos instrumentos hayan realizado a través de los mismos de acuerdo a la regulación que dicte el Banco Central del Uruguay. Los adelantos deberán ser sin cargo para los clientes y su plazo no podrá ser superior a dos días hábiles</w:t>
      </w:r>
      <w:r w:rsidRPr="00EC18EB">
        <w:rPr>
          <w:sz w:val="22"/>
          <w:szCs w:val="22"/>
        </w:rPr>
        <w:t>.</w:t>
      </w:r>
    </w:p>
    <w:p w14:paraId="738AA177" w14:textId="77777777" w:rsidR="00EC18EB" w:rsidRPr="00EC18EB" w:rsidRDefault="00EC18EB" w:rsidP="00EC18EB">
      <w:pPr>
        <w:spacing w:before="120"/>
        <w:jc w:val="both"/>
        <w:rPr>
          <w:sz w:val="22"/>
          <w:szCs w:val="22"/>
        </w:rPr>
      </w:pPr>
    </w:p>
    <w:p w14:paraId="2861483F" w14:textId="77777777" w:rsidR="00EC18EB" w:rsidRPr="00EC18EB" w:rsidRDefault="00EC18EB" w:rsidP="00EC18EB">
      <w:pPr>
        <w:spacing w:before="120"/>
        <w:jc w:val="both"/>
        <w:rPr>
          <w:sz w:val="22"/>
          <w:szCs w:val="22"/>
        </w:rPr>
      </w:pPr>
      <w:r w:rsidRPr="00EC18EB">
        <w:rPr>
          <w:sz w:val="22"/>
          <w:szCs w:val="22"/>
          <w:u w:val="single"/>
        </w:rPr>
        <w:t>Artículo 2</w:t>
      </w:r>
      <w:r w:rsidRPr="00EC18EB">
        <w:rPr>
          <w:sz w:val="22"/>
          <w:szCs w:val="22"/>
        </w:rPr>
        <w:t>.- Sustitúyase el artículo 8 de la Ley N° 19.210 de 24 de abril de 2014, por el siguiente:</w:t>
      </w:r>
    </w:p>
    <w:p w14:paraId="371D4FA9" w14:textId="77777777" w:rsidR="00EC18EB" w:rsidRPr="00EC18EB" w:rsidRDefault="00EC18EB" w:rsidP="00EC18EB">
      <w:pPr>
        <w:spacing w:before="120"/>
        <w:jc w:val="both"/>
        <w:rPr>
          <w:i/>
          <w:sz w:val="22"/>
          <w:szCs w:val="22"/>
        </w:rPr>
      </w:pPr>
      <w:r w:rsidRPr="00EC18EB">
        <w:rPr>
          <w:i/>
          <w:sz w:val="22"/>
          <w:szCs w:val="22"/>
        </w:rPr>
        <w:t>ARTÍCULO 8°: (Protección contra la insolvencia de la institución depositaria</w:t>
      </w:r>
      <w:proofErr w:type="gramStart"/>
      <w:r w:rsidRPr="00EC18EB">
        <w:rPr>
          <w:i/>
          <w:sz w:val="22"/>
          <w:szCs w:val="22"/>
        </w:rPr>
        <w:t>).-</w:t>
      </w:r>
      <w:proofErr w:type="gramEnd"/>
      <w:r w:rsidRPr="00EC18EB">
        <w:rPr>
          <w:i/>
          <w:sz w:val="22"/>
          <w:szCs w:val="22"/>
        </w:rPr>
        <w:t xml:space="preserve"> </w:t>
      </w:r>
    </w:p>
    <w:p w14:paraId="7A85D7C3" w14:textId="77777777" w:rsidR="00EC18EB" w:rsidRPr="00EC18EB" w:rsidRDefault="00EC18EB" w:rsidP="00EC18EB">
      <w:pPr>
        <w:spacing w:before="120"/>
        <w:jc w:val="both"/>
        <w:rPr>
          <w:sz w:val="22"/>
          <w:szCs w:val="22"/>
        </w:rPr>
      </w:pPr>
      <w:r w:rsidRPr="00EC18EB">
        <w:rPr>
          <w:i/>
          <w:sz w:val="22"/>
          <w:szCs w:val="22"/>
        </w:rPr>
        <w:t>Todos los fondos acreditados en instrumentos de dinero electrónico que no hayan sido utilizados por sus titulares al momento de suspensión de actividades o liquidación de la empresa de intermediación financiera donde la institución emisora de dinero electrónico tenga radicados sus fondos, así como aquellos que – en tales circunstancias - estuviesen pendientes de acreditación en cumplimiento de lo dispuesto en los Capítulos I, III y IV del Título III de la presente ley, estarán alcanzados por las previsiones de la Ley N° 18.139, de 15 de junio de 2007</w:t>
      </w:r>
      <w:r w:rsidRPr="00EC18EB">
        <w:rPr>
          <w:sz w:val="22"/>
          <w:szCs w:val="22"/>
        </w:rPr>
        <w:t>.</w:t>
      </w:r>
    </w:p>
    <w:p w14:paraId="7BB35E14" w14:textId="77777777" w:rsidR="00EC18EB" w:rsidRPr="00EC18EB" w:rsidRDefault="00EC18EB" w:rsidP="00EC18EB">
      <w:pPr>
        <w:spacing w:before="120"/>
        <w:jc w:val="both"/>
        <w:rPr>
          <w:sz w:val="22"/>
          <w:szCs w:val="22"/>
        </w:rPr>
      </w:pPr>
    </w:p>
    <w:p w14:paraId="2B2D2A6A" w14:textId="77777777" w:rsidR="00EC18EB" w:rsidRPr="00EC18EB" w:rsidRDefault="00EC18EB" w:rsidP="00EC18EB">
      <w:pPr>
        <w:spacing w:before="120"/>
        <w:jc w:val="both"/>
        <w:rPr>
          <w:sz w:val="22"/>
          <w:szCs w:val="22"/>
        </w:rPr>
      </w:pPr>
      <w:r w:rsidRPr="00EC18EB">
        <w:rPr>
          <w:sz w:val="22"/>
          <w:szCs w:val="22"/>
          <w:u w:val="single"/>
        </w:rPr>
        <w:t>Artículo 3</w:t>
      </w:r>
      <w:r w:rsidRPr="00EC18EB">
        <w:rPr>
          <w:sz w:val="22"/>
          <w:szCs w:val="22"/>
        </w:rPr>
        <w:t>.- Incorpórese a la Ley N° 19.210 de 24 de abril del 2014 el artículo 8 bis que quedará redactado de la siguiente manera:</w:t>
      </w:r>
    </w:p>
    <w:p w14:paraId="7EC0F5CD" w14:textId="77777777" w:rsidR="00EC18EB" w:rsidRPr="00EC18EB" w:rsidRDefault="00EC18EB" w:rsidP="00EC18EB">
      <w:pPr>
        <w:spacing w:before="120"/>
        <w:jc w:val="both"/>
        <w:rPr>
          <w:sz w:val="22"/>
          <w:szCs w:val="22"/>
        </w:rPr>
      </w:pPr>
      <w:r w:rsidRPr="00EC18EB">
        <w:rPr>
          <w:i/>
          <w:sz w:val="22"/>
          <w:szCs w:val="22"/>
        </w:rPr>
        <w:t>ARTÍCULO 8° bis: (Intercambio excepcional de información).- Las instituciones emisoras de dinero electrónico podrán intercambiar entre sí y con las instituciones de intermediación financiera, con carácter excepcional y sin necesidad de obtener el consentimiento de su titular, la información de saldos, movimientos y operaciones correspondientes a instrumentos de dinero electrónico de sus clientes, así como la información confidencial que reciban o tengan de dichos clientes, con el objeto exclusivo de investigar y prevenir eventuales conductas delictivas o actividades con apariencia delictiva que se pretendan llevar a cabo a través de esas instituciones, siendo responsables por la divulgación de dicha información a terceros</w:t>
      </w:r>
      <w:r w:rsidRPr="00EC18EB">
        <w:rPr>
          <w:sz w:val="22"/>
          <w:szCs w:val="22"/>
        </w:rPr>
        <w:t>.</w:t>
      </w:r>
    </w:p>
    <w:p w14:paraId="1D6C7D13" w14:textId="77777777" w:rsidR="00EB0212" w:rsidRDefault="00EB0212" w:rsidP="00EC19DF">
      <w:pPr>
        <w:pStyle w:val="1BCUTTULOPRINCIPAL"/>
        <w:jc w:val="both"/>
        <w:rPr>
          <w:rFonts w:cs="Segoe UI"/>
          <w:color w:val="auto"/>
          <w:sz w:val="22"/>
          <w:szCs w:val="22"/>
        </w:rPr>
      </w:pPr>
    </w:p>
    <w:sectPr w:rsidR="00EB0212" w:rsidSect="00CE7D55">
      <w:headerReference w:type="even" r:id="rId8"/>
      <w:headerReference w:type="default" r:id="rId9"/>
      <w:footerReference w:type="even" r:id="rId10"/>
      <w:footerReference w:type="default" r:id="rId11"/>
      <w:headerReference w:type="first" r:id="rId12"/>
      <w:footerReference w:type="first" r:id="rId13"/>
      <w:pgSz w:w="11906" w:h="16838" w:code="9"/>
      <w:pgMar w:top="1134" w:right="1106" w:bottom="1134" w:left="1134" w:header="1020" w:footer="6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08B7B" w14:textId="77777777" w:rsidR="00EA2CFF" w:rsidRPr="00620FAE" w:rsidRDefault="00EA2CFF" w:rsidP="00620FAE">
      <w:r>
        <w:separator/>
      </w:r>
    </w:p>
  </w:endnote>
  <w:endnote w:type="continuationSeparator" w:id="0">
    <w:p w14:paraId="1D8ED2FB" w14:textId="77777777" w:rsidR="00EA2CFF" w:rsidRPr="00620FAE" w:rsidRDefault="00EA2CFF" w:rsidP="00620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e Monde Sans Std">
    <w:altName w:val="Le Monde Sans Std"/>
    <w:panose1 w:val="02000503060000020004"/>
    <w:charset w:val="00"/>
    <w:family w:val="modern"/>
    <w:notTrueType/>
    <w:pitch w:val="variable"/>
    <w:sig w:usb0="8000006F" w:usb1="50000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e Monde Livre Std">
    <w:panose1 w:val="02000503060000020004"/>
    <w:charset w:val="00"/>
    <w:family w:val="modern"/>
    <w:notTrueType/>
    <w:pitch w:val="variable"/>
    <w:sig w:usb0="800000EF" w:usb1="50000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eMondeSansStd-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9E4FC" w14:textId="77777777" w:rsidR="00B109B4" w:rsidRDefault="00B109B4">
    <w:pPr>
      <w:spacing w:after="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6850C" w14:textId="77777777" w:rsidR="00B109B4" w:rsidRPr="006F5986" w:rsidRDefault="00B109B4">
    <w:pPr>
      <w:pStyle w:val="Piedepgina"/>
      <w:jc w:val="right"/>
      <w:rPr>
        <w:sz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DCF3A" w14:textId="77777777" w:rsidR="00B109B4" w:rsidRDefault="00B109B4">
    <w:pPr>
      <w:spacing w:after="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A7B4B" w14:textId="77777777" w:rsidR="00EA2CFF" w:rsidRPr="00620FAE" w:rsidRDefault="00EA2CFF" w:rsidP="00620FAE">
      <w:r>
        <w:separator/>
      </w:r>
    </w:p>
  </w:footnote>
  <w:footnote w:type="continuationSeparator" w:id="0">
    <w:p w14:paraId="5347A84E" w14:textId="77777777" w:rsidR="00EA2CFF" w:rsidRPr="00620FAE" w:rsidRDefault="00EA2CFF" w:rsidP="00620F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1F22B" w14:textId="2B76000E" w:rsidR="00B109B4" w:rsidRDefault="00EC18EB">
    <w:pPr>
      <w:spacing w:after="0"/>
    </w:pPr>
    <w:r>
      <w:rPr>
        <w:noProof/>
      </w:rPr>
      <w:pict w14:anchorId="392069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24907" o:spid="_x0000_s8195" type="#_x0000_t136" style="position:absolute;margin-left:0;margin-top:0;width:605.7pt;height:75.7pt;rotation:315;z-index:-251655168;mso-position-horizontal:center;mso-position-horizontal-relative:margin;mso-position-vertical:center;mso-position-vertical-relative:margin" o:allowincell="f" fillcolor="silver" stroked="f">
          <v:fill opacity=".5"/>
          <v:textpath style="font-family:&quot;Le Monde Sans Std&quot;;font-size:1pt" string="BORRADOR"/>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A75CA" w14:textId="6F63BAC3" w:rsidR="00B109B4" w:rsidRDefault="00EC18EB" w:rsidP="00425898">
    <w:pPr>
      <w:pStyle w:val="Encabezado"/>
    </w:pPr>
    <w:r>
      <w:rPr>
        <w:noProof/>
      </w:rPr>
      <w:pict w14:anchorId="7B5E65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24908" o:spid="_x0000_s8196" type="#_x0000_t136" style="position:absolute;margin-left:0;margin-top:0;width:605.7pt;height:75.7pt;rotation:315;z-index:-251653120;mso-position-horizontal:center;mso-position-horizontal-relative:margin;mso-position-vertical:center;mso-position-vertical-relative:margin" o:allowincell="f" fillcolor="silver" stroked="f">
          <v:fill opacity=".5"/>
          <v:textpath style="font-family:&quot;Le Monde Sans Std&quot;;font-size:1pt" string="BORRADOR"/>
          <w10:wrap anchorx="margin" anchory="margin"/>
        </v:shape>
      </w:pict>
    </w:r>
    <w:r w:rsidR="00B109B4">
      <w:rPr>
        <w:noProof/>
        <w:lang w:val="es-UY" w:eastAsia="es-UY"/>
      </w:rPr>
      <w:drawing>
        <wp:inline distT="0" distB="0" distL="0" distR="0" wp14:anchorId="1781C512" wp14:editId="6872095F">
          <wp:extent cx="2830830" cy="1025525"/>
          <wp:effectExtent l="0" t="0" r="7620" b="3175"/>
          <wp:docPr id="1" name="Imagen 1" descr="Logo BC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CU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0830" cy="10255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B1527" w14:textId="30D7F90C" w:rsidR="00B109B4" w:rsidRDefault="00EC18EB">
    <w:pPr>
      <w:spacing w:after="0"/>
    </w:pPr>
    <w:r>
      <w:rPr>
        <w:noProof/>
      </w:rPr>
      <w:pict w14:anchorId="6570BB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24906" o:spid="_x0000_s8194" type="#_x0000_t136" style="position:absolute;margin-left:0;margin-top:0;width:605.7pt;height:75.7pt;rotation:315;z-index:-251657216;mso-position-horizontal:center;mso-position-horizontal-relative:margin;mso-position-vertical:center;mso-position-vertical-relative:margin" o:allowincell="f" fillcolor="silver" stroked="f">
          <v:fill opacity=".5"/>
          <v:textpath style="font-family:&quot;Le Monde Sans Std&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76B1E"/>
    <w:multiLevelType w:val="hybridMultilevel"/>
    <w:tmpl w:val="4DFABF32"/>
    <w:lvl w:ilvl="0" w:tplc="380A0019">
      <w:start w:val="1"/>
      <w:numFmt w:val="low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 w15:restartNumberingAfterBreak="0">
    <w:nsid w:val="24233BD5"/>
    <w:multiLevelType w:val="hybridMultilevel"/>
    <w:tmpl w:val="F3FE0346"/>
    <w:lvl w:ilvl="0" w:tplc="E6F85F96">
      <w:start w:val="1"/>
      <w:numFmt w:val="decimal"/>
      <w:lvlText w:val="%1."/>
      <w:lvlJc w:val="left"/>
      <w:pPr>
        <w:ind w:left="720" w:hanging="360"/>
      </w:pPr>
      <w:rPr>
        <w:color w:val="auto"/>
      </w:rPr>
    </w:lvl>
    <w:lvl w:ilvl="1" w:tplc="7A78F454">
      <w:start w:val="1"/>
      <w:numFmt w:val="lowerLetter"/>
      <w:lvlText w:val="%2."/>
      <w:lvlJc w:val="left"/>
      <w:pPr>
        <w:ind w:left="1440" w:hanging="360"/>
      </w:pPr>
    </w:lvl>
    <w:lvl w:ilvl="2" w:tplc="F1BEBB5C">
      <w:start w:val="1"/>
      <w:numFmt w:val="lowerRoman"/>
      <w:lvlText w:val="%3."/>
      <w:lvlJc w:val="right"/>
      <w:pPr>
        <w:ind w:left="2160" w:hanging="180"/>
      </w:pPr>
    </w:lvl>
    <w:lvl w:ilvl="3" w:tplc="4E70ACAE">
      <w:start w:val="1"/>
      <w:numFmt w:val="decimal"/>
      <w:lvlText w:val="%4."/>
      <w:lvlJc w:val="left"/>
      <w:pPr>
        <w:ind w:left="2880" w:hanging="360"/>
      </w:pPr>
    </w:lvl>
    <w:lvl w:ilvl="4" w:tplc="2C340E54">
      <w:start w:val="1"/>
      <w:numFmt w:val="lowerLetter"/>
      <w:lvlText w:val="%5."/>
      <w:lvlJc w:val="left"/>
      <w:pPr>
        <w:ind w:left="3600" w:hanging="360"/>
      </w:pPr>
    </w:lvl>
    <w:lvl w:ilvl="5" w:tplc="FE940030">
      <w:start w:val="1"/>
      <w:numFmt w:val="lowerRoman"/>
      <w:lvlText w:val="%6."/>
      <w:lvlJc w:val="right"/>
      <w:pPr>
        <w:ind w:left="4320" w:hanging="180"/>
      </w:pPr>
    </w:lvl>
    <w:lvl w:ilvl="6" w:tplc="94528D66">
      <w:start w:val="1"/>
      <w:numFmt w:val="decimal"/>
      <w:lvlText w:val="%7."/>
      <w:lvlJc w:val="left"/>
      <w:pPr>
        <w:ind w:left="5040" w:hanging="360"/>
      </w:pPr>
    </w:lvl>
    <w:lvl w:ilvl="7" w:tplc="E2A8EBFC">
      <w:start w:val="1"/>
      <w:numFmt w:val="lowerLetter"/>
      <w:lvlText w:val="%8."/>
      <w:lvlJc w:val="left"/>
      <w:pPr>
        <w:ind w:left="5760" w:hanging="360"/>
      </w:pPr>
    </w:lvl>
    <w:lvl w:ilvl="8" w:tplc="DB6AFFC4">
      <w:start w:val="1"/>
      <w:numFmt w:val="lowerRoman"/>
      <w:lvlText w:val="%9."/>
      <w:lvlJc w:val="right"/>
      <w:pPr>
        <w:ind w:left="6480" w:hanging="180"/>
      </w:pPr>
    </w:lvl>
  </w:abstractNum>
  <w:abstractNum w:abstractNumId="2" w15:restartNumberingAfterBreak="0">
    <w:nsid w:val="2F2A1740"/>
    <w:multiLevelType w:val="hybridMultilevel"/>
    <w:tmpl w:val="81983208"/>
    <w:lvl w:ilvl="0" w:tplc="0C0A0019">
      <w:start w:val="1"/>
      <w:numFmt w:val="lowerLetter"/>
      <w:lvlText w:val="%1."/>
      <w:lvlJc w:val="left"/>
      <w:pPr>
        <w:ind w:left="1004" w:hanging="360"/>
      </w:pPr>
    </w:lvl>
    <w:lvl w:ilvl="1" w:tplc="C03E8182">
      <w:start w:val="1"/>
      <w:numFmt w:val="decimal"/>
      <w:lvlText w:val="%2."/>
      <w:lvlJc w:val="left"/>
      <w:pPr>
        <w:ind w:left="1724" w:hanging="360"/>
      </w:pPr>
      <w:rPr>
        <w:rFonts w:hint="default"/>
      </w:r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 w15:restartNumberingAfterBreak="0">
    <w:nsid w:val="46544144"/>
    <w:multiLevelType w:val="hybridMultilevel"/>
    <w:tmpl w:val="104EF276"/>
    <w:lvl w:ilvl="0" w:tplc="42E48F54">
      <w:start w:val="1"/>
      <w:numFmt w:val="decimal"/>
      <w:lvlText w:val="%1."/>
      <w:lvlJc w:val="left"/>
      <w:pPr>
        <w:ind w:left="720" w:hanging="360"/>
      </w:pPr>
      <w:rPr>
        <w:strike w:val="0"/>
      </w:rPr>
    </w:lvl>
    <w:lvl w:ilvl="1" w:tplc="0C0A000F">
      <w:start w:val="1"/>
      <w:numFmt w:val="decimal"/>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2B17BC4"/>
    <w:multiLevelType w:val="hybridMultilevel"/>
    <w:tmpl w:val="1B7496C2"/>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5" w15:restartNumberingAfterBreak="0">
    <w:nsid w:val="64810358"/>
    <w:multiLevelType w:val="hybridMultilevel"/>
    <w:tmpl w:val="379EF8F8"/>
    <w:lvl w:ilvl="0" w:tplc="380A0017">
      <w:start w:val="1"/>
      <w:numFmt w:val="low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6" w15:restartNumberingAfterBreak="0">
    <w:nsid w:val="7094646D"/>
    <w:multiLevelType w:val="hybridMultilevel"/>
    <w:tmpl w:val="A58467CC"/>
    <w:lvl w:ilvl="0" w:tplc="9A785FB6">
      <w:start w:val="1"/>
      <w:numFmt w:val="lowerLetter"/>
      <w:lvlText w:val="%1."/>
      <w:lvlJc w:val="left"/>
      <w:pPr>
        <w:ind w:left="720" w:hanging="360"/>
      </w:pPr>
    </w:lvl>
    <w:lvl w:ilvl="1" w:tplc="58066276">
      <w:start w:val="1"/>
      <w:numFmt w:val="lowerLetter"/>
      <w:lvlText w:val="%2."/>
      <w:lvlJc w:val="left"/>
      <w:pPr>
        <w:ind w:left="1440" w:hanging="360"/>
      </w:pPr>
    </w:lvl>
    <w:lvl w:ilvl="2" w:tplc="AC42D420">
      <w:start w:val="1"/>
      <w:numFmt w:val="lowerRoman"/>
      <w:lvlText w:val="%3."/>
      <w:lvlJc w:val="right"/>
      <w:pPr>
        <w:ind w:left="2160" w:hanging="180"/>
      </w:pPr>
    </w:lvl>
    <w:lvl w:ilvl="3" w:tplc="789455F6">
      <w:start w:val="1"/>
      <w:numFmt w:val="decimal"/>
      <w:lvlText w:val="%4."/>
      <w:lvlJc w:val="left"/>
      <w:pPr>
        <w:ind w:left="2880" w:hanging="360"/>
      </w:pPr>
    </w:lvl>
    <w:lvl w:ilvl="4" w:tplc="0FA0CF40">
      <w:start w:val="1"/>
      <w:numFmt w:val="lowerLetter"/>
      <w:lvlText w:val="%5."/>
      <w:lvlJc w:val="left"/>
      <w:pPr>
        <w:ind w:left="3600" w:hanging="360"/>
      </w:pPr>
    </w:lvl>
    <w:lvl w:ilvl="5" w:tplc="6EA63E1E">
      <w:start w:val="1"/>
      <w:numFmt w:val="lowerRoman"/>
      <w:lvlText w:val="%6."/>
      <w:lvlJc w:val="right"/>
      <w:pPr>
        <w:ind w:left="4320" w:hanging="180"/>
      </w:pPr>
    </w:lvl>
    <w:lvl w:ilvl="6" w:tplc="8912DB8A">
      <w:start w:val="1"/>
      <w:numFmt w:val="decimal"/>
      <w:lvlText w:val="%7."/>
      <w:lvlJc w:val="left"/>
      <w:pPr>
        <w:ind w:left="5040" w:hanging="360"/>
      </w:pPr>
    </w:lvl>
    <w:lvl w:ilvl="7" w:tplc="ECC036F4">
      <w:start w:val="1"/>
      <w:numFmt w:val="lowerLetter"/>
      <w:lvlText w:val="%8."/>
      <w:lvlJc w:val="left"/>
      <w:pPr>
        <w:ind w:left="5760" w:hanging="360"/>
      </w:pPr>
    </w:lvl>
    <w:lvl w:ilvl="8" w:tplc="77C440E0">
      <w:start w:val="1"/>
      <w:numFmt w:val="lowerRoman"/>
      <w:lvlText w:val="%9."/>
      <w:lvlJc w:val="right"/>
      <w:pPr>
        <w:ind w:left="6480" w:hanging="180"/>
      </w:pPr>
    </w:lvl>
  </w:abstractNum>
  <w:abstractNum w:abstractNumId="7" w15:restartNumberingAfterBreak="0">
    <w:nsid w:val="760869C6"/>
    <w:multiLevelType w:val="hybridMultilevel"/>
    <w:tmpl w:val="2B8CEB56"/>
    <w:lvl w:ilvl="0" w:tplc="0C0A000F">
      <w:start w:val="1"/>
      <w:numFmt w:val="decimal"/>
      <w:lvlText w:val="%1."/>
      <w:lvlJc w:val="left"/>
      <w:pPr>
        <w:ind w:left="644" w:hanging="360"/>
      </w:pPr>
      <w:rPr>
        <w:b w:val="0"/>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15:restartNumberingAfterBreak="0">
    <w:nsid w:val="7B0842A4"/>
    <w:multiLevelType w:val="hybridMultilevel"/>
    <w:tmpl w:val="1BA2679E"/>
    <w:lvl w:ilvl="0" w:tplc="B3A41E42">
      <w:start w:val="1"/>
      <w:numFmt w:val="decimal"/>
      <w:lvlText w:val="%1)"/>
      <w:lvlJc w:val="left"/>
      <w:pPr>
        <w:ind w:left="720" w:hanging="360"/>
      </w:pPr>
      <w:rPr>
        <w:rFonts w:hint="default"/>
        <w:b/>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0"/>
  </w:num>
  <w:num w:numId="5">
    <w:abstractNumId w:val="6"/>
  </w:num>
  <w:num w:numId="6">
    <w:abstractNumId w:val="1"/>
  </w:num>
  <w:num w:numId="7">
    <w:abstractNumId w:val="7"/>
  </w:num>
  <w:num w:numId="8">
    <w:abstractNumId w:val="2"/>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formatting="1" w:enforcement="0"/>
  <w:defaultTabStop w:val="708"/>
  <w:hyphenationZone w:val="425"/>
  <w:drawingGridHorizontalSpacing w:val="100"/>
  <w:displayHorizontalDrawingGridEvery w:val="2"/>
  <w:characterSpacingControl w:val="doNotCompress"/>
  <w:hdrShapeDefaults>
    <o:shapedefaults v:ext="edit" spidmax="8197"/>
    <o:shapelayout v:ext="edit">
      <o:idmap v:ext="edit" data="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8B7"/>
    <w:rsid w:val="000011D3"/>
    <w:rsid w:val="00002BCA"/>
    <w:rsid w:val="00005FDF"/>
    <w:rsid w:val="0001553D"/>
    <w:rsid w:val="00016C7A"/>
    <w:rsid w:val="00027A25"/>
    <w:rsid w:val="0003214E"/>
    <w:rsid w:val="00040A8E"/>
    <w:rsid w:val="000439D4"/>
    <w:rsid w:val="0005008A"/>
    <w:rsid w:val="00051328"/>
    <w:rsid w:val="00054C13"/>
    <w:rsid w:val="000557B2"/>
    <w:rsid w:val="00057391"/>
    <w:rsid w:val="0006447D"/>
    <w:rsid w:val="00067D10"/>
    <w:rsid w:val="00067F90"/>
    <w:rsid w:val="00094E95"/>
    <w:rsid w:val="00095720"/>
    <w:rsid w:val="00096945"/>
    <w:rsid w:val="000A36E5"/>
    <w:rsid w:val="000A4462"/>
    <w:rsid w:val="000B0C5A"/>
    <w:rsid w:val="000C439F"/>
    <w:rsid w:val="000D4D8C"/>
    <w:rsid w:val="000E0DD9"/>
    <w:rsid w:val="000E1FB9"/>
    <w:rsid w:val="000E633D"/>
    <w:rsid w:val="000E6B70"/>
    <w:rsid w:val="000F291F"/>
    <w:rsid w:val="00111943"/>
    <w:rsid w:val="00114883"/>
    <w:rsid w:val="00114BBD"/>
    <w:rsid w:val="00130624"/>
    <w:rsid w:val="00133C35"/>
    <w:rsid w:val="001351FE"/>
    <w:rsid w:val="001352F9"/>
    <w:rsid w:val="00136BF7"/>
    <w:rsid w:val="00136C88"/>
    <w:rsid w:val="001513AD"/>
    <w:rsid w:val="0015431E"/>
    <w:rsid w:val="00160A98"/>
    <w:rsid w:val="0018476E"/>
    <w:rsid w:val="001A0AC3"/>
    <w:rsid w:val="001B4CC0"/>
    <w:rsid w:val="001C222C"/>
    <w:rsid w:val="001C2BA6"/>
    <w:rsid w:val="001C5C8F"/>
    <w:rsid w:val="001C6FAE"/>
    <w:rsid w:val="001E04BC"/>
    <w:rsid w:val="001E3104"/>
    <w:rsid w:val="001E67CF"/>
    <w:rsid w:val="001E6D59"/>
    <w:rsid w:val="00210149"/>
    <w:rsid w:val="00213F34"/>
    <w:rsid w:val="002174A4"/>
    <w:rsid w:val="00224C18"/>
    <w:rsid w:val="002250A1"/>
    <w:rsid w:val="00227ED9"/>
    <w:rsid w:val="00235723"/>
    <w:rsid w:val="00236D80"/>
    <w:rsid w:val="00240201"/>
    <w:rsid w:val="002403E5"/>
    <w:rsid w:val="00242E3E"/>
    <w:rsid w:val="002568DB"/>
    <w:rsid w:val="00256A21"/>
    <w:rsid w:val="00263D95"/>
    <w:rsid w:val="002657E9"/>
    <w:rsid w:val="002668A4"/>
    <w:rsid w:val="002679A9"/>
    <w:rsid w:val="00270267"/>
    <w:rsid w:val="00270AF4"/>
    <w:rsid w:val="0027183C"/>
    <w:rsid w:val="00280EE0"/>
    <w:rsid w:val="0028284B"/>
    <w:rsid w:val="0028544A"/>
    <w:rsid w:val="00287074"/>
    <w:rsid w:val="00291345"/>
    <w:rsid w:val="00292194"/>
    <w:rsid w:val="0029501B"/>
    <w:rsid w:val="00296BB9"/>
    <w:rsid w:val="002A1B3C"/>
    <w:rsid w:val="002A4AF3"/>
    <w:rsid w:val="002B45D7"/>
    <w:rsid w:val="002B6630"/>
    <w:rsid w:val="002B734F"/>
    <w:rsid w:val="002B77E5"/>
    <w:rsid w:val="002C0C9B"/>
    <w:rsid w:val="002C25CF"/>
    <w:rsid w:val="002D2CB8"/>
    <w:rsid w:val="002D51EA"/>
    <w:rsid w:val="002D7491"/>
    <w:rsid w:val="002E1D4F"/>
    <w:rsid w:val="002F3B5B"/>
    <w:rsid w:val="002F6063"/>
    <w:rsid w:val="002F6626"/>
    <w:rsid w:val="0030504E"/>
    <w:rsid w:val="003058AE"/>
    <w:rsid w:val="00306F9B"/>
    <w:rsid w:val="00312AEE"/>
    <w:rsid w:val="00313B02"/>
    <w:rsid w:val="00314A60"/>
    <w:rsid w:val="00317404"/>
    <w:rsid w:val="003222AD"/>
    <w:rsid w:val="003222DF"/>
    <w:rsid w:val="00323266"/>
    <w:rsid w:val="0033215C"/>
    <w:rsid w:val="0033726C"/>
    <w:rsid w:val="0034224F"/>
    <w:rsid w:val="00344707"/>
    <w:rsid w:val="003538F7"/>
    <w:rsid w:val="0035587D"/>
    <w:rsid w:val="00357631"/>
    <w:rsid w:val="00364FBA"/>
    <w:rsid w:val="00382912"/>
    <w:rsid w:val="00382A2A"/>
    <w:rsid w:val="00386B68"/>
    <w:rsid w:val="00391E7D"/>
    <w:rsid w:val="00394749"/>
    <w:rsid w:val="003A491B"/>
    <w:rsid w:val="003C21D6"/>
    <w:rsid w:val="003C2449"/>
    <w:rsid w:val="003C416A"/>
    <w:rsid w:val="003D08A8"/>
    <w:rsid w:val="003D0FAB"/>
    <w:rsid w:val="003D53BB"/>
    <w:rsid w:val="003E01C0"/>
    <w:rsid w:val="003E3263"/>
    <w:rsid w:val="003F0B85"/>
    <w:rsid w:val="003F11CB"/>
    <w:rsid w:val="003F4897"/>
    <w:rsid w:val="003F4DA2"/>
    <w:rsid w:val="003F52CF"/>
    <w:rsid w:val="0040003E"/>
    <w:rsid w:val="00400B2F"/>
    <w:rsid w:val="00402381"/>
    <w:rsid w:val="00405643"/>
    <w:rsid w:val="0041058B"/>
    <w:rsid w:val="00420C51"/>
    <w:rsid w:val="00420E03"/>
    <w:rsid w:val="00425898"/>
    <w:rsid w:val="00432712"/>
    <w:rsid w:val="00432F71"/>
    <w:rsid w:val="004355D6"/>
    <w:rsid w:val="004449C2"/>
    <w:rsid w:val="00453E3B"/>
    <w:rsid w:val="00460EE2"/>
    <w:rsid w:val="004801F7"/>
    <w:rsid w:val="004843EF"/>
    <w:rsid w:val="00484A61"/>
    <w:rsid w:val="004865AB"/>
    <w:rsid w:val="00497856"/>
    <w:rsid w:val="004A0F6B"/>
    <w:rsid w:val="004A43CD"/>
    <w:rsid w:val="004B182B"/>
    <w:rsid w:val="004B39E9"/>
    <w:rsid w:val="004B63AD"/>
    <w:rsid w:val="004C1836"/>
    <w:rsid w:val="004D2689"/>
    <w:rsid w:val="004D3176"/>
    <w:rsid w:val="004D3ED2"/>
    <w:rsid w:val="004D4006"/>
    <w:rsid w:val="004E4E81"/>
    <w:rsid w:val="004E78C9"/>
    <w:rsid w:val="004F3769"/>
    <w:rsid w:val="004F614A"/>
    <w:rsid w:val="00500221"/>
    <w:rsid w:val="00512A30"/>
    <w:rsid w:val="0051733D"/>
    <w:rsid w:val="00524951"/>
    <w:rsid w:val="00524E5A"/>
    <w:rsid w:val="00527043"/>
    <w:rsid w:val="00537ADB"/>
    <w:rsid w:val="00540FFB"/>
    <w:rsid w:val="00542B5F"/>
    <w:rsid w:val="00542C99"/>
    <w:rsid w:val="005434C4"/>
    <w:rsid w:val="00564100"/>
    <w:rsid w:val="00565EC6"/>
    <w:rsid w:val="00570B85"/>
    <w:rsid w:val="005948FD"/>
    <w:rsid w:val="00597E92"/>
    <w:rsid w:val="005B78B7"/>
    <w:rsid w:val="005C1739"/>
    <w:rsid w:val="005D4A71"/>
    <w:rsid w:val="005D4D9F"/>
    <w:rsid w:val="005D5026"/>
    <w:rsid w:val="005E2CC2"/>
    <w:rsid w:val="005E2D79"/>
    <w:rsid w:val="005F0083"/>
    <w:rsid w:val="005F3FA7"/>
    <w:rsid w:val="005F7D8D"/>
    <w:rsid w:val="00613605"/>
    <w:rsid w:val="00620FAE"/>
    <w:rsid w:val="00623C6E"/>
    <w:rsid w:val="00636970"/>
    <w:rsid w:val="006375C4"/>
    <w:rsid w:val="00640C1E"/>
    <w:rsid w:val="00642683"/>
    <w:rsid w:val="006468C4"/>
    <w:rsid w:val="006551C0"/>
    <w:rsid w:val="00655606"/>
    <w:rsid w:val="006563EC"/>
    <w:rsid w:val="0065694A"/>
    <w:rsid w:val="00667AFD"/>
    <w:rsid w:val="0067316D"/>
    <w:rsid w:val="00687136"/>
    <w:rsid w:val="00694C53"/>
    <w:rsid w:val="006A1803"/>
    <w:rsid w:val="006A3A0F"/>
    <w:rsid w:val="006A4217"/>
    <w:rsid w:val="006A7E86"/>
    <w:rsid w:val="006B4D92"/>
    <w:rsid w:val="006B5F69"/>
    <w:rsid w:val="006C21A8"/>
    <w:rsid w:val="006C244E"/>
    <w:rsid w:val="006D00E1"/>
    <w:rsid w:val="006D09D7"/>
    <w:rsid w:val="006D4E36"/>
    <w:rsid w:val="006E1846"/>
    <w:rsid w:val="006E2B5B"/>
    <w:rsid w:val="006F0759"/>
    <w:rsid w:val="006F22DE"/>
    <w:rsid w:val="006F274F"/>
    <w:rsid w:val="006F3EE7"/>
    <w:rsid w:val="006F49F5"/>
    <w:rsid w:val="006F5986"/>
    <w:rsid w:val="006F5EAD"/>
    <w:rsid w:val="007016CE"/>
    <w:rsid w:val="00702E58"/>
    <w:rsid w:val="00706C05"/>
    <w:rsid w:val="007073F2"/>
    <w:rsid w:val="00712148"/>
    <w:rsid w:val="00713033"/>
    <w:rsid w:val="007160E7"/>
    <w:rsid w:val="00724B33"/>
    <w:rsid w:val="007267ED"/>
    <w:rsid w:val="00726E0C"/>
    <w:rsid w:val="00731DF3"/>
    <w:rsid w:val="0073359D"/>
    <w:rsid w:val="00733B94"/>
    <w:rsid w:val="00733E37"/>
    <w:rsid w:val="007413DE"/>
    <w:rsid w:val="00742BC8"/>
    <w:rsid w:val="00743FFB"/>
    <w:rsid w:val="007456EF"/>
    <w:rsid w:val="00751611"/>
    <w:rsid w:val="00761B83"/>
    <w:rsid w:val="00767708"/>
    <w:rsid w:val="00776EFE"/>
    <w:rsid w:val="007865DF"/>
    <w:rsid w:val="00794EB5"/>
    <w:rsid w:val="0079577B"/>
    <w:rsid w:val="007A039A"/>
    <w:rsid w:val="007A05D2"/>
    <w:rsid w:val="007A4ED1"/>
    <w:rsid w:val="007B6E24"/>
    <w:rsid w:val="007C6AA9"/>
    <w:rsid w:val="007F44CE"/>
    <w:rsid w:val="007F6940"/>
    <w:rsid w:val="007F7BD8"/>
    <w:rsid w:val="008005F8"/>
    <w:rsid w:val="008034E1"/>
    <w:rsid w:val="00813CFA"/>
    <w:rsid w:val="00821D1C"/>
    <w:rsid w:val="0083106C"/>
    <w:rsid w:val="00832019"/>
    <w:rsid w:val="008474F7"/>
    <w:rsid w:val="0085370C"/>
    <w:rsid w:val="0085382C"/>
    <w:rsid w:val="0085436F"/>
    <w:rsid w:val="00867DA6"/>
    <w:rsid w:val="00867EDB"/>
    <w:rsid w:val="00877558"/>
    <w:rsid w:val="00885720"/>
    <w:rsid w:val="008A5746"/>
    <w:rsid w:val="008B274B"/>
    <w:rsid w:val="008C3AA4"/>
    <w:rsid w:val="008C4BA7"/>
    <w:rsid w:val="008C6A94"/>
    <w:rsid w:val="008C71A1"/>
    <w:rsid w:val="008D3D90"/>
    <w:rsid w:val="008D448C"/>
    <w:rsid w:val="008E3E5E"/>
    <w:rsid w:val="008F2A02"/>
    <w:rsid w:val="008F2D18"/>
    <w:rsid w:val="0092555E"/>
    <w:rsid w:val="00925F6A"/>
    <w:rsid w:val="009306D4"/>
    <w:rsid w:val="00941904"/>
    <w:rsid w:val="00945E30"/>
    <w:rsid w:val="00947A30"/>
    <w:rsid w:val="009507F9"/>
    <w:rsid w:val="009519BC"/>
    <w:rsid w:val="0095553A"/>
    <w:rsid w:val="009559D0"/>
    <w:rsid w:val="00960204"/>
    <w:rsid w:val="0096726C"/>
    <w:rsid w:val="00970F9A"/>
    <w:rsid w:val="00972EF6"/>
    <w:rsid w:val="00975885"/>
    <w:rsid w:val="00980F39"/>
    <w:rsid w:val="009812F6"/>
    <w:rsid w:val="0098482C"/>
    <w:rsid w:val="00984EEB"/>
    <w:rsid w:val="0098774E"/>
    <w:rsid w:val="009946B9"/>
    <w:rsid w:val="009A1913"/>
    <w:rsid w:val="009B3A62"/>
    <w:rsid w:val="009C17AA"/>
    <w:rsid w:val="009C733A"/>
    <w:rsid w:val="009D19BA"/>
    <w:rsid w:val="009D1B19"/>
    <w:rsid w:val="009D6BA6"/>
    <w:rsid w:val="009E2E45"/>
    <w:rsid w:val="009E4B85"/>
    <w:rsid w:val="009E5390"/>
    <w:rsid w:val="009E5D2D"/>
    <w:rsid w:val="009E7838"/>
    <w:rsid w:val="00A0175F"/>
    <w:rsid w:val="00A0455D"/>
    <w:rsid w:val="00A07D64"/>
    <w:rsid w:val="00A11928"/>
    <w:rsid w:val="00A14F8F"/>
    <w:rsid w:val="00A17F29"/>
    <w:rsid w:val="00A22E0B"/>
    <w:rsid w:val="00A22EC2"/>
    <w:rsid w:val="00A24330"/>
    <w:rsid w:val="00A3203F"/>
    <w:rsid w:val="00A33E3E"/>
    <w:rsid w:val="00A367ED"/>
    <w:rsid w:val="00A36D0F"/>
    <w:rsid w:val="00A443E7"/>
    <w:rsid w:val="00A514A9"/>
    <w:rsid w:val="00A55EBB"/>
    <w:rsid w:val="00A57543"/>
    <w:rsid w:val="00A679FB"/>
    <w:rsid w:val="00A70E54"/>
    <w:rsid w:val="00A7194D"/>
    <w:rsid w:val="00A81BD4"/>
    <w:rsid w:val="00A83745"/>
    <w:rsid w:val="00A912F5"/>
    <w:rsid w:val="00A9427C"/>
    <w:rsid w:val="00A94DF9"/>
    <w:rsid w:val="00AA1B90"/>
    <w:rsid w:val="00AA3C23"/>
    <w:rsid w:val="00AB1407"/>
    <w:rsid w:val="00AB22F7"/>
    <w:rsid w:val="00AB41FB"/>
    <w:rsid w:val="00AB736C"/>
    <w:rsid w:val="00AC14DD"/>
    <w:rsid w:val="00AC1FB6"/>
    <w:rsid w:val="00AC31F2"/>
    <w:rsid w:val="00AD3553"/>
    <w:rsid w:val="00AD41B6"/>
    <w:rsid w:val="00AD43FD"/>
    <w:rsid w:val="00AD5A98"/>
    <w:rsid w:val="00AE13C1"/>
    <w:rsid w:val="00AE445C"/>
    <w:rsid w:val="00AE558E"/>
    <w:rsid w:val="00B0000D"/>
    <w:rsid w:val="00B00A5C"/>
    <w:rsid w:val="00B05313"/>
    <w:rsid w:val="00B063AD"/>
    <w:rsid w:val="00B109B4"/>
    <w:rsid w:val="00B13BB1"/>
    <w:rsid w:val="00B20BCE"/>
    <w:rsid w:val="00B223E6"/>
    <w:rsid w:val="00B33B4D"/>
    <w:rsid w:val="00B3460C"/>
    <w:rsid w:val="00B34DD6"/>
    <w:rsid w:val="00B35CED"/>
    <w:rsid w:val="00B37790"/>
    <w:rsid w:val="00B44CF3"/>
    <w:rsid w:val="00B44CFE"/>
    <w:rsid w:val="00B4743B"/>
    <w:rsid w:val="00B4759E"/>
    <w:rsid w:val="00B516D5"/>
    <w:rsid w:val="00B52EB3"/>
    <w:rsid w:val="00B53535"/>
    <w:rsid w:val="00B53E8B"/>
    <w:rsid w:val="00B56A72"/>
    <w:rsid w:val="00B8102B"/>
    <w:rsid w:val="00B855A6"/>
    <w:rsid w:val="00B85E60"/>
    <w:rsid w:val="00B86045"/>
    <w:rsid w:val="00B91BB7"/>
    <w:rsid w:val="00B9235A"/>
    <w:rsid w:val="00B92765"/>
    <w:rsid w:val="00BA5A9C"/>
    <w:rsid w:val="00BB4602"/>
    <w:rsid w:val="00BC3C52"/>
    <w:rsid w:val="00BC3C7A"/>
    <w:rsid w:val="00BD602C"/>
    <w:rsid w:val="00BE0540"/>
    <w:rsid w:val="00BE5551"/>
    <w:rsid w:val="00BF6A7D"/>
    <w:rsid w:val="00C03673"/>
    <w:rsid w:val="00C11CBA"/>
    <w:rsid w:val="00C1648B"/>
    <w:rsid w:val="00C35829"/>
    <w:rsid w:val="00C40A22"/>
    <w:rsid w:val="00C43C6B"/>
    <w:rsid w:val="00C47262"/>
    <w:rsid w:val="00C5137E"/>
    <w:rsid w:val="00C5148C"/>
    <w:rsid w:val="00C679B8"/>
    <w:rsid w:val="00C67B47"/>
    <w:rsid w:val="00C779DC"/>
    <w:rsid w:val="00C84889"/>
    <w:rsid w:val="00C84977"/>
    <w:rsid w:val="00C84B38"/>
    <w:rsid w:val="00C85CF5"/>
    <w:rsid w:val="00CA1EE8"/>
    <w:rsid w:val="00CA2773"/>
    <w:rsid w:val="00CA4EA2"/>
    <w:rsid w:val="00CB42D2"/>
    <w:rsid w:val="00CB4469"/>
    <w:rsid w:val="00CB6BA5"/>
    <w:rsid w:val="00CD010E"/>
    <w:rsid w:val="00CD6037"/>
    <w:rsid w:val="00CE1CC6"/>
    <w:rsid w:val="00CE235E"/>
    <w:rsid w:val="00CE3381"/>
    <w:rsid w:val="00CE53B4"/>
    <w:rsid w:val="00CE7D55"/>
    <w:rsid w:val="00CF18D0"/>
    <w:rsid w:val="00CF67DE"/>
    <w:rsid w:val="00D039D7"/>
    <w:rsid w:val="00D068ED"/>
    <w:rsid w:val="00D11491"/>
    <w:rsid w:val="00D15416"/>
    <w:rsid w:val="00D16D45"/>
    <w:rsid w:val="00D21668"/>
    <w:rsid w:val="00D3006E"/>
    <w:rsid w:val="00D300BF"/>
    <w:rsid w:val="00D31CF0"/>
    <w:rsid w:val="00D32A01"/>
    <w:rsid w:val="00D348F3"/>
    <w:rsid w:val="00D37C09"/>
    <w:rsid w:val="00D45FF1"/>
    <w:rsid w:val="00D540E8"/>
    <w:rsid w:val="00D621EE"/>
    <w:rsid w:val="00D738C7"/>
    <w:rsid w:val="00D7396F"/>
    <w:rsid w:val="00D7408A"/>
    <w:rsid w:val="00D748F0"/>
    <w:rsid w:val="00D936A3"/>
    <w:rsid w:val="00D96102"/>
    <w:rsid w:val="00DA15A1"/>
    <w:rsid w:val="00DA63C9"/>
    <w:rsid w:val="00DB2545"/>
    <w:rsid w:val="00DB3B42"/>
    <w:rsid w:val="00DC3826"/>
    <w:rsid w:val="00DC42F6"/>
    <w:rsid w:val="00DD1E2A"/>
    <w:rsid w:val="00DE0F8E"/>
    <w:rsid w:val="00DE1EC9"/>
    <w:rsid w:val="00DF0298"/>
    <w:rsid w:val="00DF784C"/>
    <w:rsid w:val="00E00FD5"/>
    <w:rsid w:val="00E02FD1"/>
    <w:rsid w:val="00E0741E"/>
    <w:rsid w:val="00E15EF8"/>
    <w:rsid w:val="00E26358"/>
    <w:rsid w:val="00E264A4"/>
    <w:rsid w:val="00E31395"/>
    <w:rsid w:val="00E32DBC"/>
    <w:rsid w:val="00E36624"/>
    <w:rsid w:val="00E42904"/>
    <w:rsid w:val="00E44F0C"/>
    <w:rsid w:val="00E4628F"/>
    <w:rsid w:val="00E56D13"/>
    <w:rsid w:val="00E56EBF"/>
    <w:rsid w:val="00E572C9"/>
    <w:rsid w:val="00E60D2D"/>
    <w:rsid w:val="00E665F3"/>
    <w:rsid w:val="00E67310"/>
    <w:rsid w:val="00E77234"/>
    <w:rsid w:val="00E823B0"/>
    <w:rsid w:val="00E82696"/>
    <w:rsid w:val="00E86790"/>
    <w:rsid w:val="00E95BB8"/>
    <w:rsid w:val="00E9603C"/>
    <w:rsid w:val="00E976EB"/>
    <w:rsid w:val="00EA2CFF"/>
    <w:rsid w:val="00EA3E0F"/>
    <w:rsid w:val="00EB0212"/>
    <w:rsid w:val="00EB1C65"/>
    <w:rsid w:val="00EB2307"/>
    <w:rsid w:val="00EC18EB"/>
    <w:rsid w:val="00EC19DF"/>
    <w:rsid w:val="00EC4065"/>
    <w:rsid w:val="00EC51D7"/>
    <w:rsid w:val="00EC6B1F"/>
    <w:rsid w:val="00ED51AD"/>
    <w:rsid w:val="00ED5D14"/>
    <w:rsid w:val="00ED5DEF"/>
    <w:rsid w:val="00EF35A3"/>
    <w:rsid w:val="00F031DA"/>
    <w:rsid w:val="00F04F1D"/>
    <w:rsid w:val="00F118AD"/>
    <w:rsid w:val="00F14A99"/>
    <w:rsid w:val="00F1733A"/>
    <w:rsid w:val="00F21A3B"/>
    <w:rsid w:val="00F31626"/>
    <w:rsid w:val="00F368DE"/>
    <w:rsid w:val="00F37D66"/>
    <w:rsid w:val="00F45CEF"/>
    <w:rsid w:val="00F7050D"/>
    <w:rsid w:val="00F71BA5"/>
    <w:rsid w:val="00F737F3"/>
    <w:rsid w:val="00F831F4"/>
    <w:rsid w:val="00F84A71"/>
    <w:rsid w:val="00F9561A"/>
    <w:rsid w:val="00F96411"/>
    <w:rsid w:val="00F9713B"/>
    <w:rsid w:val="00FA2618"/>
    <w:rsid w:val="00FA373E"/>
    <w:rsid w:val="00FA4103"/>
    <w:rsid w:val="00FA457C"/>
    <w:rsid w:val="00FA7579"/>
    <w:rsid w:val="00FB0A88"/>
    <w:rsid w:val="00FB10FB"/>
    <w:rsid w:val="00FB461E"/>
    <w:rsid w:val="00FC47B9"/>
    <w:rsid w:val="00FC75D1"/>
    <w:rsid w:val="00FC7612"/>
    <w:rsid w:val="00FD4B65"/>
    <w:rsid w:val="00FD7546"/>
    <w:rsid w:val="00FE0A65"/>
    <w:rsid w:val="00FE3611"/>
    <w:rsid w:val="00FE4441"/>
    <w:rsid w:val="00FE564C"/>
    <w:rsid w:val="00FF2F9C"/>
    <w:rsid w:val="00FF3E3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8197"/>
    <o:shapelayout v:ext="edit">
      <o:idmap v:ext="edit" data="1"/>
    </o:shapelayout>
  </w:shapeDefaults>
  <w:decimalSymbol w:val=","/>
  <w:listSeparator w:val=";"/>
  <w14:docId w14:val="640CCA3A"/>
  <w15:docId w15:val="{8F0A74D0-A043-427B-BC9B-3C8EEF7A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e Monde Sans Std" w:eastAsia="Calibri" w:hAnsi="Le Monde Sans Std" w:cs="Times New Roman"/>
        <w:lang w:val="es-UY" w:eastAsia="es-UY"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33A"/>
    <w:pPr>
      <w:spacing w:after="120"/>
    </w:pPr>
    <w:rPr>
      <w:lang w:val="es-ES" w:eastAsia="en-US"/>
    </w:rPr>
  </w:style>
  <w:style w:type="paragraph" w:styleId="Ttulo1">
    <w:name w:val="heading 1"/>
    <w:basedOn w:val="Normal"/>
    <w:next w:val="Normal"/>
    <w:link w:val="Ttulo1Car"/>
    <w:uiPriority w:val="9"/>
    <w:qFormat/>
    <w:locked/>
    <w:rsid w:val="005F7D8D"/>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gralmax">
    <w:name w:val="titulo gral max"/>
    <w:basedOn w:val="Normal"/>
    <w:link w:val="titulogralmaxCar"/>
    <w:rsid w:val="00F21A3B"/>
    <w:pPr>
      <w:jc w:val="center"/>
    </w:pPr>
    <w:rPr>
      <w:rFonts w:ascii="Le Monde Livre Std" w:hAnsi="Le Monde Livre Std"/>
      <w:sz w:val="36"/>
      <w:szCs w:val="48"/>
    </w:rPr>
  </w:style>
  <w:style w:type="paragraph" w:customStyle="1" w:styleId="titulogralmaxcolor">
    <w:name w:val="titulo gral max color"/>
    <w:basedOn w:val="titulogralmax"/>
    <w:link w:val="titulogralmaxcolorCar"/>
    <w:rsid w:val="00E823B0"/>
    <w:rPr>
      <w:color w:val="1C267D"/>
    </w:rPr>
  </w:style>
  <w:style w:type="character" w:customStyle="1" w:styleId="titulogralmaxCar">
    <w:name w:val="titulo gral max Car"/>
    <w:link w:val="titulogralmax"/>
    <w:rsid w:val="00F21A3B"/>
    <w:rPr>
      <w:rFonts w:ascii="Le Monde Livre Std" w:hAnsi="Le Monde Livre Std"/>
      <w:sz w:val="36"/>
      <w:szCs w:val="48"/>
      <w:lang w:eastAsia="en-US"/>
    </w:rPr>
  </w:style>
  <w:style w:type="paragraph" w:customStyle="1" w:styleId="titulocapituloscolor">
    <w:name w:val="titulo capitulos color"/>
    <w:basedOn w:val="titulogralmaxcolor"/>
    <w:link w:val="titulocapituloscolorCar"/>
    <w:rsid w:val="008C6A94"/>
    <w:rPr>
      <w:rFonts w:ascii="Le Monde Sans Std" w:hAnsi="Le Monde Sans Std"/>
      <w:b/>
      <w:color w:val="2255A4"/>
      <w:sz w:val="30"/>
      <w:szCs w:val="36"/>
    </w:rPr>
  </w:style>
  <w:style w:type="character" w:customStyle="1" w:styleId="titulogralmaxcolorCar">
    <w:name w:val="titulo gral max color Car"/>
    <w:link w:val="titulogralmaxcolor"/>
    <w:rsid w:val="00E823B0"/>
    <w:rPr>
      <w:rFonts w:ascii="Le Monde Livre Std" w:hAnsi="Le Monde Livre Std"/>
      <w:color w:val="1C267D"/>
      <w:sz w:val="36"/>
      <w:szCs w:val="48"/>
      <w:lang w:eastAsia="en-US"/>
    </w:rPr>
  </w:style>
  <w:style w:type="paragraph" w:customStyle="1" w:styleId="titulocapitulos">
    <w:name w:val="titulo capitulos"/>
    <w:basedOn w:val="titulocapituloscolor"/>
    <w:link w:val="titulocapitulosCar"/>
    <w:rsid w:val="008C6A94"/>
    <w:rPr>
      <w:color w:val="auto"/>
    </w:rPr>
  </w:style>
  <w:style w:type="character" w:customStyle="1" w:styleId="titulocapituloscolorCar">
    <w:name w:val="titulo capitulos color Car"/>
    <w:link w:val="titulocapituloscolor"/>
    <w:rsid w:val="008C6A94"/>
    <w:rPr>
      <w:rFonts w:ascii="Le Monde Livre Std" w:hAnsi="Le Monde Livre Std"/>
      <w:b/>
      <w:color w:val="2255A4"/>
      <w:sz w:val="30"/>
      <w:szCs w:val="36"/>
      <w:lang w:eastAsia="en-US"/>
    </w:rPr>
  </w:style>
  <w:style w:type="paragraph" w:customStyle="1" w:styleId="subtitulos">
    <w:name w:val="subtitulos"/>
    <w:basedOn w:val="titulocapitulos"/>
    <w:link w:val="subtitulosCar"/>
    <w:rsid w:val="00B855A6"/>
    <w:rPr>
      <w:sz w:val="26"/>
      <w:szCs w:val="28"/>
    </w:rPr>
  </w:style>
  <w:style w:type="character" w:customStyle="1" w:styleId="titulocapitulosCar">
    <w:name w:val="titulo capitulos Car"/>
    <w:link w:val="titulocapitulos"/>
    <w:rsid w:val="008C6A94"/>
    <w:rPr>
      <w:rFonts w:ascii="Le Monde Livre Std" w:hAnsi="Le Monde Livre Std"/>
      <w:b/>
      <w:color w:val="2255A4"/>
      <w:sz w:val="30"/>
      <w:szCs w:val="36"/>
      <w:lang w:eastAsia="en-US"/>
    </w:rPr>
  </w:style>
  <w:style w:type="paragraph" w:customStyle="1" w:styleId="subtitulossecundarios">
    <w:name w:val="subtitulos secundarios"/>
    <w:basedOn w:val="subtitulos"/>
    <w:link w:val="subtitulossecundariosCar"/>
    <w:rsid w:val="009C733A"/>
    <w:rPr>
      <w:b w:val="0"/>
      <w:sz w:val="24"/>
    </w:rPr>
  </w:style>
  <w:style w:type="character" w:customStyle="1" w:styleId="subtitulosCar">
    <w:name w:val="subtitulos Car"/>
    <w:link w:val="subtitulos"/>
    <w:rsid w:val="00B855A6"/>
    <w:rPr>
      <w:rFonts w:ascii="Le Monde Livre Std" w:hAnsi="Le Monde Livre Std"/>
      <w:b/>
      <w:color w:val="2255A4"/>
      <w:sz w:val="26"/>
      <w:szCs w:val="28"/>
      <w:lang w:eastAsia="en-US"/>
    </w:rPr>
  </w:style>
  <w:style w:type="character" w:customStyle="1" w:styleId="Ttulo1Car">
    <w:name w:val="Título 1 Car"/>
    <w:link w:val="Ttulo1"/>
    <w:uiPriority w:val="9"/>
    <w:rsid w:val="005F7D8D"/>
    <w:rPr>
      <w:rFonts w:ascii="Cambria" w:eastAsia="Times New Roman" w:hAnsi="Cambria" w:cs="Times New Roman"/>
      <w:b/>
      <w:bCs/>
      <w:color w:val="365F91"/>
      <w:sz w:val="28"/>
      <w:szCs w:val="28"/>
    </w:rPr>
  </w:style>
  <w:style w:type="character" w:customStyle="1" w:styleId="subtitulossecundariosCar">
    <w:name w:val="subtitulos secundarios Car"/>
    <w:link w:val="subtitulossecundarios"/>
    <w:rsid w:val="00FC47B9"/>
    <w:rPr>
      <w:rFonts w:ascii="Le Monde Sans Std" w:hAnsi="Le Monde Sans Std"/>
      <w:b w:val="0"/>
      <w:color w:val="2255A4"/>
      <w:sz w:val="24"/>
      <w:szCs w:val="28"/>
      <w:lang w:eastAsia="en-US"/>
    </w:rPr>
  </w:style>
  <w:style w:type="paragraph" w:customStyle="1" w:styleId="subtitulossecundarioscolor">
    <w:name w:val="subtitulos secundarios color"/>
    <w:basedOn w:val="subtitulossecundarios"/>
    <w:link w:val="subtitulossecundarioscolorCar"/>
    <w:rsid w:val="00A9427C"/>
    <w:pPr>
      <w:jc w:val="left"/>
    </w:pPr>
    <w:rPr>
      <w:color w:val="2255A4"/>
    </w:rPr>
  </w:style>
  <w:style w:type="paragraph" w:customStyle="1" w:styleId="textogeneralunacol">
    <w:name w:val="texto general una col"/>
    <w:next w:val="Normal"/>
    <w:link w:val="textogeneralunacolCar"/>
    <w:rsid w:val="008C6A94"/>
    <w:pPr>
      <w:spacing w:after="120"/>
      <w:jc w:val="both"/>
    </w:pPr>
    <w:rPr>
      <w:szCs w:val="22"/>
      <w:lang w:val="es-ES" w:eastAsia="en-US"/>
    </w:rPr>
  </w:style>
  <w:style w:type="character" w:customStyle="1" w:styleId="subtitulossecundarioscolorCar">
    <w:name w:val="subtitulos secundarios color Car"/>
    <w:link w:val="subtitulossecundarioscolor"/>
    <w:rsid w:val="00A9427C"/>
    <w:rPr>
      <w:rFonts w:ascii="Le Monde Sans Std" w:hAnsi="Le Monde Sans Std"/>
      <w:b w:val="0"/>
      <w:color w:val="2255A4"/>
      <w:sz w:val="24"/>
      <w:szCs w:val="28"/>
      <w:lang w:eastAsia="en-US"/>
    </w:rPr>
  </w:style>
  <w:style w:type="paragraph" w:customStyle="1" w:styleId="textogeneralunacolarial">
    <w:name w:val="texto general una col arial"/>
    <w:basedOn w:val="textogeneralunacol"/>
    <w:link w:val="textogeneralunacolarialCar"/>
    <w:rsid w:val="00BB4602"/>
    <w:rPr>
      <w:rFonts w:ascii="Arial Narrow" w:hAnsi="Arial Narrow"/>
    </w:rPr>
  </w:style>
  <w:style w:type="character" w:customStyle="1" w:styleId="textogeneralunacolCar">
    <w:name w:val="texto general una col Car"/>
    <w:link w:val="textogeneralunacol"/>
    <w:rsid w:val="008C6A94"/>
    <w:rPr>
      <w:szCs w:val="22"/>
      <w:lang w:val="es-ES" w:eastAsia="en-US" w:bidi="ar-SA"/>
    </w:rPr>
  </w:style>
  <w:style w:type="paragraph" w:styleId="Encabezado">
    <w:name w:val="header"/>
    <w:basedOn w:val="Normal"/>
    <w:link w:val="EncabezadoCar"/>
    <w:uiPriority w:val="99"/>
    <w:unhideWhenUsed/>
    <w:locked/>
    <w:rsid w:val="00BB4602"/>
    <w:pPr>
      <w:tabs>
        <w:tab w:val="center" w:pos="4252"/>
        <w:tab w:val="right" w:pos="8504"/>
      </w:tabs>
      <w:spacing w:after="0"/>
    </w:pPr>
  </w:style>
  <w:style w:type="character" w:customStyle="1" w:styleId="textogeneralunacolarialCar">
    <w:name w:val="texto general una col arial Car"/>
    <w:link w:val="textogeneralunacolarial"/>
    <w:rsid w:val="00BB4602"/>
    <w:rPr>
      <w:rFonts w:ascii="Arial Narrow" w:hAnsi="Arial Narrow"/>
      <w:sz w:val="24"/>
      <w:szCs w:val="22"/>
      <w:lang w:val="es-ES" w:eastAsia="en-US" w:bidi="ar-SA"/>
    </w:rPr>
  </w:style>
  <w:style w:type="character" w:customStyle="1" w:styleId="EncabezadoCar">
    <w:name w:val="Encabezado Car"/>
    <w:basedOn w:val="Fuentedeprrafopredeter"/>
    <w:link w:val="Encabezado"/>
    <w:uiPriority w:val="99"/>
    <w:rsid w:val="00BB4602"/>
  </w:style>
  <w:style w:type="paragraph" w:styleId="Piedepgina">
    <w:name w:val="footer"/>
    <w:basedOn w:val="Normal"/>
    <w:link w:val="PiedepginaCar"/>
    <w:uiPriority w:val="99"/>
    <w:unhideWhenUsed/>
    <w:locked/>
    <w:rsid w:val="00BB4602"/>
    <w:pPr>
      <w:tabs>
        <w:tab w:val="center" w:pos="4252"/>
        <w:tab w:val="right" w:pos="8504"/>
      </w:tabs>
      <w:spacing w:after="0"/>
    </w:pPr>
  </w:style>
  <w:style w:type="character" w:customStyle="1" w:styleId="PiedepginaCar">
    <w:name w:val="Pie de página Car"/>
    <w:basedOn w:val="Fuentedeprrafopredeter"/>
    <w:link w:val="Piedepgina"/>
    <w:uiPriority w:val="99"/>
    <w:rsid w:val="00BB4602"/>
  </w:style>
  <w:style w:type="paragraph" w:styleId="Textodeglobo">
    <w:name w:val="Balloon Text"/>
    <w:basedOn w:val="Normal"/>
    <w:link w:val="TextodegloboCar"/>
    <w:uiPriority w:val="99"/>
    <w:semiHidden/>
    <w:unhideWhenUsed/>
    <w:locked/>
    <w:rsid w:val="00BB4602"/>
    <w:pPr>
      <w:spacing w:after="0"/>
    </w:pPr>
    <w:rPr>
      <w:rFonts w:ascii="Tahoma" w:hAnsi="Tahoma" w:cs="Tahoma"/>
      <w:sz w:val="16"/>
      <w:szCs w:val="16"/>
    </w:rPr>
  </w:style>
  <w:style w:type="character" w:customStyle="1" w:styleId="TextodegloboCar">
    <w:name w:val="Texto de globo Car"/>
    <w:link w:val="Textodeglobo"/>
    <w:uiPriority w:val="99"/>
    <w:semiHidden/>
    <w:rsid w:val="00BB4602"/>
    <w:rPr>
      <w:rFonts w:ascii="Tahoma" w:hAnsi="Tahoma" w:cs="Tahoma"/>
      <w:sz w:val="16"/>
      <w:szCs w:val="16"/>
    </w:rPr>
  </w:style>
  <w:style w:type="paragraph" w:customStyle="1" w:styleId="subtituloscolor">
    <w:name w:val="subtitulos color"/>
    <w:basedOn w:val="subtitulos"/>
    <w:link w:val="subtituloscolorCar"/>
    <w:rsid w:val="000B0C5A"/>
    <w:rPr>
      <w:color w:val="2255A4"/>
    </w:rPr>
  </w:style>
  <w:style w:type="character" w:customStyle="1" w:styleId="subtituloscolorCar">
    <w:name w:val="subtitulos color Car"/>
    <w:link w:val="subtituloscolor"/>
    <w:rsid w:val="000B0C5A"/>
    <w:rPr>
      <w:rFonts w:ascii="Le Monde Sans Std" w:hAnsi="Le Monde Sans Std"/>
      <w:b/>
      <w:color w:val="2255A4"/>
      <w:sz w:val="28"/>
      <w:szCs w:val="28"/>
      <w:lang w:eastAsia="en-US"/>
    </w:rPr>
  </w:style>
  <w:style w:type="paragraph" w:styleId="Ttulo">
    <w:name w:val="Title"/>
    <w:basedOn w:val="Normal"/>
    <w:next w:val="Normal"/>
    <w:link w:val="TtuloCar"/>
    <w:uiPriority w:val="10"/>
    <w:qFormat/>
    <w:locked/>
    <w:rsid w:val="008C6A94"/>
    <w:pPr>
      <w:spacing w:before="240" w:after="60"/>
      <w:jc w:val="center"/>
      <w:outlineLvl w:val="0"/>
    </w:pPr>
    <w:rPr>
      <w:rFonts w:ascii="Cambria" w:eastAsia="Times New Roman" w:hAnsi="Cambria"/>
      <w:b/>
      <w:bCs/>
      <w:kern w:val="28"/>
      <w:sz w:val="32"/>
      <w:szCs w:val="32"/>
    </w:rPr>
  </w:style>
  <w:style w:type="character" w:customStyle="1" w:styleId="TtuloCar">
    <w:name w:val="Título Car"/>
    <w:link w:val="Ttulo"/>
    <w:uiPriority w:val="10"/>
    <w:rsid w:val="008C6A94"/>
    <w:rPr>
      <w:rFonts w:ascii="Cambria" w:eastAsia="Times New Roman" w:hAnsi="Cambria" w:cs="Times New Roman"/>
      <w:b/>
      <w:bCs/>
      <w:kern w:val="28"/>
      <w:sz w:val="32"/>
      <w:szCs w:val="32"/>
      <w:lang w:eastAsia="en-US"/>
    </w:rPr>
  </w:style>
  <w:style w:type="character" w:styleId="nfasisintenso">
    <w:name w:val="Intense Emphasis"/>
    <w:uiPriority w:val="21"/>
    <w:qFormat/>
    <w:locked/>
    <w:rsid w:val="008C6A94"/>
    <w:rPr>
      <w:b/>
      <w:bCs/>
      <w:i/>
      <w:iCs/>
      <w:color w:val="4F81BD"/>
    </w:rPr>
  </w:style>
  <w:style w:type="character" w:styleId="nfasis">
    <w:name w:val="Emphasis"/>
    <w:uiPriority w:val="20"/>
    <w:qFormat/>
    <w:locked/>
    <w:rsid w:val="008C6A94"/>
    <w:rPr>
      <w:rFonts w:ascii="Le Monde Sans Std" w:hAnsi="Le Monde Sans Std"/>
      <w:i/>
      <w:iCs/>
      <w:sz w:val="20"/>
    </w:rPr>
  </w:style>
  <w:style w:type="paragraph" w:styleId="Sinespaciado">
    <w:name w:val="No Spacing"/>
    <w:uiPriority w:val="1"/>
    <w:qFormat/>
    <w:locked/>
    <w:rsid w:val="008C6A94"/>
    <w:rPr>
      <w:lang w:val="es-ES" w:eastAsia="en-US"/>
    </w:rPr>
  </w:style>
  <w:style w:type="character" w:styleId="Textoennegrita">
    <w:name w:val="Strong"/>
    <w:uiPriority w:val="22"/>
    <w:qFormat/>
    <w:rsid w:val="008C6A94"/>
    <w:rPr>
      <w:rFonts w:ascii="Le Monde Sans Std" w:hAnsi="Le Monde Sans Std"/>
      <w:b/>
      <w:bCs/>
      <w:sz w:val="20"/>
    </w:rPr>
  </w:style>
  <w:style w:type="paragraph" w:styleId="Cita">
    <w:name w:val="Quote"/>
    <w:basedOn w:val="Normal"/>
    <w:next w:val="Normal"/>
    <w:link w:val="CitaCar"/>
    <w:uiPriority w:val="29"/>
    <w:qFormat/>
    <w:locked/>
    <w:rsid w:val="008C6A94"/>
    <w:rPr>
      <w:i/>
      <w:iCs/>
      <w:color w:val="000000"/>
    </w:rPr>
  </w:style>
  <w:style w:type="character" w:customStyle="1" w:styleId="CitaCar">
    <w:name w:val="Cita Car"/>
    <w:link w:val="Cita"/>
    <w:uiPriority w:val="29"/>
    <w:rsid w:val="008C6A94"/>
    <w:rPr>
      <w:i/>
      <w:iCs/>
      <w:color w:val="000000"/>
      <w:lang w:eastAsia="en-US"/>
    </w:rPr>
  </w:style>
  <w:style w:type="paragraph" w:customStyle="1" w:styleId="2BCUTEXTOGENERAL">
    <w:name w:val="2. BCU TEXTO GENERAL"/>
    <w:basedOn w:val="textogeneralunacol"/>
    <w:link w:val="2BCUTEXTOGENERALCar"/>
    <w:qFormat/>
    <w:rsid w:val="001A0AC3"/>
    <w:pPr>
      <w:spacing w:after="0"/>
      <w:jc w:val="left"/>
    </w:pPr>
    <w:rPr>
      <w:szCs w:val="20"/>
    </w:rPr>
  </w:style>
  <w:style w:type="paragraph" w:customStyle="1" w:styleId="1BCUTTULOPRINCIPAL">
    <w:name w:val="1. BCU TÍTULO PRINCIPAL"/>
    <w:basedOn w:val="titulogralmaxcolor"/>
    <w:link w:val="1BCUTTULOPRINCIPALCar"/>
    <w:qFormat/>
    <w:rsid w:val="00F9561A"/>
    <w:pPr>
      <w:spacing w:after="0"/>
      <w:jc w:val="left"/>
    </w:pPr>
    <w:rPr>
      <w:rFonts w:ascii="Le Monde Sans Std" w:hAnsi="Le Monde Sans Std"/>
      <w:color w:val="006EB7"/>
      <w:sz w:val="28"/>
      <w:szCs w:val="28"/>
    </w:rPr>
  </w:style>
  <w:style w:type="character" w:customStyle="1" w:styleId="2BCUTEXTOGENERALCar">
    <w:name w:val="2. BCU TEXTO GENERAL Car"/>
    <w:link w:val="2BCUTEXTOGENERAL"/>
    <w:rsid w:val="001A0AC3"/>
    <w:rPr>
      <w:lang w:eastAsia="en-US"/>
    </w:rPr>
  </w:style>
  <w:style w:type="paragraph" w:customStyle="1" w:styleId="3BCUSUBTTULOPRIMARIO">
    <w:name w:val="3. BCU SUBTÍTULO PRIMARIO"/>
    <w:basedOn w:val="subtituloscolor"/>
    <w:link w:val="3BCUSUBTTULOPRIMARIOCar"/>
    <w:qFormat/>
    <w:rsid w:val="00F9561A"/>
    <w:pPr>
      <w:spacing w:after="0"/>
      <w:jc w:val="left"/>
    </w:pPr>
    <w:rPr>
      <w:b w:val="0"/>
      <w:color w:val="006EB7"/>
      <w:sz w:val="24"/>
      <w:szCs w:val="24"/>
    </w:rPr>
  </w:style>
  <w:style w:type="character" w:customStyle="1" w:styleId="1BCUTTULOPRINCIPALCar">
    <w:name w:val="1. BCU TÍTULO PRINCIPAL Car"/>
    <w:link w:val="1BCUTTULOPRINCIPAL"/>
    <w:rsid w:val="00F9561A"/>
    <w:rPr>
      <w:color w:val="006EB7"/>
      <w:sz w:val="28"/>
      <w:szCs w:val="28"/>
      <w:lang w:eastAsia="en-US"/>
    </w:rPr>
  </w:style>
  <w:style w:type="paragraph" w:customStyle="1" w:styleId="4BCUSUBTTULOSECUNDARIO">
    <w:name w:val="4. BCU SUBTÍTULO SECUNDARIO"/>
    <w:basedOn w:val="subtitulossecundarioscolor"/>
    <w:link w:val="4BCUSUBTTULOSECUNDARIOCar"/>
    <w:qFormat/>
    <w:rsid w:val="00F031DA"/>
    <w:rPr>
      <w:color w:val="006EB7"/>
      <w:sz w:val="20"/>
      <w:szCs w:val="20"/>
    </w:rPr>
  </w:style>
  <w:style w:type="character" w:customStyle="1" w:styleId="3BCUSUBTTULOPRIMARIOCar">
    <w:name w:val="3. BCU SUBTÍTULO PRIMARIO Car"/>
    <w:link w:val="3BCUSUBTTULOPRIMARIO"/>
    <w:rsid w:val="00F9561A"/>
    <w:rPr>
      <w:color w:val="006EB7"/>
      <w:sz w:val="24"/>
      <w:szCs w:val="24"/>
      <w:lang w:eastAsia="en-US"/>
    </w:rPr>
  </w:style>
  <w:style w:type="character" w:customStyle="1" w:styleId="4BCUSUBTTULOSECUNDARIOCar">
    <w:name w:val="4. BCU SUBTÍTULO SECUNDARIO Car"/>
    <w:link w:val="4BCUSUBTTULOSECUNDARIO"/>
    <w:rsid w:val="00F031DA"/>
    <w:rPr>
      <w:rFonts w:ascii="Le Monde Sans Std" w:hAnsi="Le Monde Sans Std"/>
      <w:b w:val="0"/>
      <w:color w:val="006EB7"/>
      <w:sz w:val="24"/>
      <w:szCs w:val="28"/>
      <w:lang w:eastAsia="en-US"/>
    </w:rPr>
  </w:style>
  <w:style w:type="table" w:styleId="Tablaconcuadrcula">
    <w:name w:val="Table Grid"/>
    <w:basedOn w:val="Tablanormal"/>
    <w:locked/>
    <w:rsid w:val="008F2D18"/>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61B83"/>
    <w:pPr>
      <w:ind w:left="720"/>
      <w:contextualSpacing/>
    </w:pPr>
  </w:style>
  <w:style w:type="character" w:styleId="Refdecomentario">
    <w:name w:val="annotation reference"/>
    <w:basedOn w:val="Fuentedeprrafopredeter"/>
    <w:uiPriority w:val="99"/>
    <w:unhideWhenUsed/>
    <w:locked/>
    <w:rsid w:val="00BC3C52"/>
    <w:rPr>
      <w:sz w:val="16"/>
      <w:szCs w:val="16"/>
    </w:rPr>
  </w:style>
  <w:style w:type="paragraph" w:styleId="Textocomentario">
    <w:name w:val="annotation text"/>
    <w:basedOn w:val="Normal"/>
    <w:link w:val="TextocomentarioCar"/>
    <w:uiPriority w:val="99"/>
    <w:unhideWhenUsed/>
    <w:locked/>
    <w:rsid w:val="00BC3C52"/>
  </w:style>
  <w:style w:type="character" w:customStyle="1" w:styleId="TextocomentarioCar">
    <w:name w:val="Texto comentario Car"/>
    <w:basedOn w:val="Fuentedeprrafopredeter"/>
    <w:link w:val="Textocomentario"/>
    <w:uiPriority w:val="99"/>
    <w:rsid w:val="00BC3C52"/>
    <w:rPr>
      <w:lang w:val="es-ES" w:eastAsia="en-US"/>
    </w:rPr>
  </w:style>
  <w:style w:type="paragraph" w:styleId="Asuntodelcomentario">
    <w:name w:val="annotation subject"/>
    <w:basedOn w:val="Textocomentario"/>
    <w:next w:val="Textocomentario"/>
    <w:link w:val="AsuntodelcomentarioCar"/>
    <w:uiPriority w:val="99"/>
    <w:semiHidden/>
    <w:unhideWhenUsed/>
    <w:locked/>
    <w:rsid w:val="00BC3C52"/>
    <w:rPr>
      <w:b/>
      <w:bCs/>
    </w:rPr>
  </w:style>
  <w:style w:type="character" w:customStyle="1" w:styleId="AsuntodelcomentarioCar">
    <w:name w:val="Asunto del comentario Car"/>
    <w:basedOn w:val="TextocomentarioCar"/>
    <w:link w:val="Asuntodelcomentario"/>
    <w:uiPriority w:val="99"/>
    <w:semiHidden/>
    <w:rsid w:val="00BC3C52"/>
    <w:rPr>
      <w:b/>
      <w:bCs/>
      <w:lang w:val="es-ES" w:eastAsia="en-US"/>
    </w:rPr>
  </w:style>
  <w:style w:type="paragraph" w:customStyle="1" w:styleId="Default">
    <w:name w:val="Default"/>
    <w:rsid w:val="007F6940"/>
    <w:pPr>
      <w:widowControl w:val="0"/>
      <w:autoSpaceDE w:val="0"/>
      <w:autoSpaceDN w:val="0"/>
      <w:adjustRightInd w:val="0"/>
    </w:pPr>
    <w:rPr>
      <w:rFonts w:eastAsiaTheme="minorEastAsia" w:cs="Le Monde Sans Std"/>
      <w:color w:val="000000"/>
      <w:sz w:val="24"/>
      <w:szCs w:val="24"/>
      <w:lang w:val="es-ES" w:eastAsia="es-ES"/>
    </w:rPr>
  </w:style>
  <w:style w:type="paragraph" w:customStyle="1" w:styleId="CM2">
    <w:name w:val="CM2"/>
    <w:basedOn w:val="Default"/>
    <w:next w:val="Default"/>
    <w:uiPriority w:val="99"/>
    <w:rsid w:val="00AD43FD"/>
    <w:pPr>
      <w:spacing w:line="211" w:lineRule="atLeast"/>
    </w:pPr>
    <w:rPr>
      <w:rFonts w:eastAsia="Times New Roman" w:cs="Times New Roman"/>
      <w:color w:val="auto"/>
    </w:rPr>
  </w:style>
  <w:style w:type="paragraph" w:customStyle="1" w:styleId="CM16">
    <w:name w:val="CM16"/>
    <w:basedOn w:val="Default"/>
    <w:next w:val="Default"/>
    <w:uiPriority w:val="99"/>
    <w:rsid w:val="00AD43FD"/>
    <w:rPr>
      <w:rFonts w:eastAsia="Times New Roman" w:cs="Times New Roman"/>
      <w:color w:val="auto"/>
    </w:rPr>
  </w:style>
  <w:style w:type="paragraph" w:customStyle="1" w:styleId="CM3">
    <w:name w:val="CM3"/>
    <w:basedOn w:val="Default"/>
    <w:next w:val="Default"/>
    <w:uiPriority w:val="99"/>
    <w:rsid w:val="00AD43FD"/>
    <w:pPr>
      <w:spacing w:line="211" w:lineRule="atLeast"/>
    </w:pPr>
    <w:rPr>
      <w:rFonts w:eastAsia="Times New Roman" w:cs="Times New Roman"/>
      <w:color w:val="auto"/>
    </w:rPr>
  </w:style>
  <w:style w:type="paragraph" w:customStyle="1" w:styleId="CM15">
    <w:name w:val="CM15"/>
    <w:basedOn w:val="Default"/>
    <w:next w:val="Default"/>
    <w:uiPriority w:val="99"/>
    <w:rsid w:val="00D31CF0"/>
    <w:rPr>
      <w:rFonts w:eastAsia="Times New Roman" w:cs="Times New Roman"/>
      <w:color w:val="auto"/>
    </w:rPr>
  </w:style>
  <w:style w:type="paragraph" w:customStyle="1" w:styleId="CM17">
    <w:name w:val="CM17"/>
    <w:basedOn w:val="Default"/>
    <w:next w:val="Default"/>
    <w:uiPriority w:val="99"/>
    <w:rsid w:val="00D31CF0"/>
    <w:rPr>
      <w:rFonts w:eastAsia="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035168">
      <w:bodyDiv w:val="1"/>
      <w:marLeft w:val="60"/>
      <w:marRight w:val="60"/>
      <w:marTop w:val="60"/>
      <w:marBottom w:val="15"/>
      <w:divBdr>
        <w:top w:val="none" w:sz="0" w:space="0" w:color="auto"/>
        <w:left w:val="none" w:sz="0" w:space="0" w:color="auto"/>
        <w:bottom w:val="none" w:sz="0" w:space="0" w:color="auto"/>
        <w:right w:val="none" w:sz="0" w:space="0" w:color="auto"/>
      </w:divBdr>
      <w:divsChild>
        <w:div w:id="126363804">
          <w:marLeft w:val="0"/>
          <w:marRight w:val="0"/>
          <w:marTop w:val="0"/>
          <w:marBottom w:val="0"/>
          <w:divBdr>
            <w:top w:val="none" w:sz="0" w:space="0" w:color="auto"/>
            <w:left w:val="none" w:sz="0" w:space="0" w:color="auto"/>
            <w:bottom w:val="none" w:sz="0" w:space="0" w:color="auto"/>
            <w:right w:val="none" w:sz="0" w:space="0" w:color="auto"/>
          </w:divBdr>
        </w:div>
        <w:div w:id="466514607">
          <w:marLeft w:val="0"/>
          <w:marRight w:val="0"/>
          <w:marTop w:val="0"/>
          <w:marBottom w:val="0"/>
          <w:divBdr>
            <w:top w:val="none" w:sz="0" w:space="0" w:color="auto"/>
            <w:left w:val="none" w:sz="0" w:space="0" w:color="auto"/>
            <w:bottom w:val="none" w:sz="0" w:space="0" w:color="auto"/>
            <w:right w:val="none" w:sz="0" w:space="0" w:color="auto"/>
          </w:divBdr>
        </w:div>
        <w:div w:id="1331836318">
          <w:marLeft w:val="0"/>
          <w:marRight w:val="0"/>
          <w:marTop w:val="0"/>
          <w:marBottom w:val="0"/>
          <w:divBdr>
            <w:top w:val="none" w:sz="0" w:space="0" w:color="auto"/>
            <w:left w:val="none" w:sz="0" w:space="0" w:color="auto"/>
            <w:bottom w:val="none" w:sz="0" w:space="0" w:color="auto"/>
            <w:right w:val="none" w:sz="0" w:space="0" w:color="auto"/>
          </w:divBdr>
        </w:div>
        <w:div w:id="2023244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FDA71A75AC331049A1D34BE4D32765DD" ma:contentTypeVersion="6" ma:contentTypeDescription="Crear nuevo documento." ma:contentTypeScope="" ma:versionID="2e2115864d2ffd43bded7c98d781dd06">
  <xsd:schema xmlns:xsd="http://www.w3.org/2001/XMLSchema" xmlns:xs="http://www.w3.org/2001/XMLSchema" xmlns:p="http://schemas.microsoft.com/office/2006/metadata/properties" xmlns:ns1="http://schemas.microsoft.com/sharepoint/v3" xmlns:ns2="a920c358-e860-40bc-800a-c71437c68475" xmlns:ns3="5cc83515-dfe3-4588-82fc-ce69f93544d3" targetNamespace="http://schemas.microsoft.com/office/2006/metadata/properties" ma:root="true" ma:fieldsID="922b820330f5de5b173f164540a0fa34" ns1:_="" ns2:_="" ns3:_="">
    <xsd:import namespace="http://schemas.microsoft.com/sharepoint/v3"/>
    <xsd:import namespace="a920c358-e860-40bc-800a-c71437c68475"/>
    <xsd:import namespace="5cc83515-dfe3-4588-82fc-ce69f93544d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A_x00f1_o" minOccurs="0"/>
                <xsd:element ref="ns3:Mes" minOccurs="0"/>
                <xsd:element ref="ns3:Tipo_x0020_de_x0020_informaci_x007b_on" minOccurs="0"/>
                <xsd:element ref="ns3:Orden"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20c358-e860-40bc-800a-c71437c68475"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c83515-dfe3-4588-82fc-ce69f93544d3" elementFormDefault="qualified">
    <xsd:import namespace="http://schemas.microsoft.com/office/2006/documentManagement/types"/>
    <xsd:import namespace="http://schemas.microsoft.com/office/infopath/2007/PartnerControls"/>
    <xsd:element name="A_x00f1_o" ma:index="13" nillable="true" ma:displayName="Año" ma:decimals="0" ma:internalName="A_x00f1_o">
      <xsd:simpleType>
        <xsd:restriction base="dms:Number"/>
      </xsd:simpleType>
    </xsd:element>
    <xsd:element name="Mes" ma:index="14" nillable="true" ma:displayName="Mes" ma:decimals="0" ma:internalName="Mes">
      <xsd:simpleType>
        <xsd:restriction base="dms:Number">
          <xsd:maxInclusive value="12"/>
          <xsd:minInclusive value="1"/>
        </xsd:restriction>
      </xsd:simpleType>
    </xsd:element>
    <xsd:element name="Tipo_x0020_de_x0020_informaci_x007b_on" ma:index="15" nillable="true" ma:displayName="Tipo de información" ma:internalName="Tipo_x0020_de_x0020_informaci_x007b_on">
      <xsd:simpleType>
        <xsd:restriction base="dms:Text">
          <xsd:maxLength value="255"/>
        </xsd:restriction>
      </xsd:simpleType>
    </xsd:element>
    <xsd:element name="Orden" ma:index="16" nillable="true" ma:displayName="Orden" ma:decimals="0" ma:internalName="Orden"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920c358-e860-40bc-800a-c71437c68475">ZVC2WEHRZH33-63-118</_dlc_DocId>
    <_dlc_DocIdUrl xmlns="a920c358-e860-40bc-800a-c71437c68475">
      <Url>http://hidra/Sistema-de-Pagos/_layouts/15/DocIdRedir.aspx?ID=ZVC2WEHRZH33-63-118</Url>
      <Description>ZVC2WEHRZH33-63-118</Description>
    </_dlc_DocIdUrl>
    <Mes xmlns="5cc83515-dfe3-4588-82fc-ce69f93544d3" xsi:nil="true"/>
    <A_x00f1_o xmlns="5cc83515-dfe3-4588-82fc-ce69f93544d3" xsi:nil="true"/>
    <PublishingExpirationDate xmlns="http://schemas.microsoft.com/sharepoint/v3" xsi:nil="true"/>
    <PublishingStartDate xmlns="http://schemas.microsoft.com/sharepoint/v3" xsi:nil="true"/>
    <Orden xmlns="5cc83515-dfe3-4588-82fc-ce69f93544d3" xsi:nil="true"/>
    <Tipo_x0020_de_x0020_informaci_x007b_on xmlns="5cc83515-dfe3-4588-82fc-ce69f93544d3" xsi:nil="true"/>
    <_dlc_DocIdPersistId xmlns="a920c358-e860-40bc-800a-c71437c68475">false</_dlc_DocIdPersistId>
    <SharedWithUsers xmlns="a920c358-e860-40bc-800a-c71437c68475">
      <UserInfo>
        <DisplayName/>
        <AccountId xsi:nil="true"/>
        <AccountType/>
      </UserInfo>
    </SharedWithUsers>
  </documentManagement>
</p:properties>
</file>

<file path=customXml/itemProps1.xml><?xml version="1.0" encoding="utf-8"?>
<ds:datastoreItem xmlns:ds="http://schemas.openxmlformats.org/officeDocument/2006/customXml" ds:itemID="{7BA90FC9-943D-4411-9CC0-A4B6B65DFFB6}">
  <ds:schemaRefs>
    <ds:schemaRef ds:uri="http://schemas.openxmlformats.org/officeDocument/2006/bibliography"/>
  </ds:schemaRefs>
</ds:datastoreItem>
</file>

<file path=customXml/itemProps2.xml><?xml version="1.0" encoding="utf-8"?>
<ds:datastoreItem xmlns:ds="http://schemas.openxmlformats.org/officeDocument/2006/customXml" ds:itemID="{616BD5F3-2D1A-416C-AEF1-5121BBB4ABCA}"/>
</file>

<file path=customXml/itemProps3.xml><?xml version="1.0" encoding="utf-8"?>
<ds:datastoreItem xmlns:ds="http://schemas.openxmlformats.org/officeDocument/2006/customXml" ds:itemID="{76830B26-D7BB-4AAB-AA8A-465F887B8969}"/>
</file>

<file path=customXml/itemProps4.xml><?xml version="1.0" encoding="utf-8"?>
<ds:datastoreItem xmlns:ds="http://schemas.openxmlformats.org/officeDocument/2006/customXml" ds:itemID="{C8DA5D83-1A5F-45F9-810B-E8C20A034B65}"/>
</file>

<file path=customXml/itemProps5.xml><?xml version="1.0" encoding="utf-8"?>
<ds:datastoreItem xmlns:ds="http://schemas.openxmlformats.org/officeDocument/2006/customXml" ds:itemID="{46F367E1-AE0F-4F3C-982F-B5B958E3DBAB}"/>
</file>

<file path=docProps/app.xml><?xml version="1.0" encoding="utf-8"?>
<Properties xmlns="http://schemas.openxmlformats.org/officeDocument/2006/extended-properties" xmlns:vt="http://schemas.openxmlformats.org/officeDocument/2006/docPropsVTypes">
  <Template>Normal</Template>
  <TotalTime>31</TotalTime>
  <Pages>5</Pages>
  <Words>1714</Words>
  <Characters>9429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Plantilla para documentos externos - libre de restricciones</vt:lpstr>
    </vt:vector>
  </TitlesOfParts>
  <Company>Banco Central del Uruguay</Company>
  <LinksUpToDate>false</LinksUpToDate>
  <CharactersWithSpaces>11121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para documentos externos - libre de restricciones</dc:title>
  <dc:creator>agonzalezm</dc:creator>
  <cp:lastModifiedBy>Soporte</cp:lastModifiedBy>
  <cp:revision>12</cp:revision>
  <cp:lastPrinted>2023-07-05T17:38:00Z</cp:lastPrinted>
  <dcterms:created xsi:type="dcterms:W3CDTF">2023-07-06T17:29:00Z</dcterms:created>
  <dcterms:modified xsi:type="dcterms:W3CDTF">2025-07-21T15:33:00Z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0x010100FDA71A75AC331049A1D34BE4D32765DD</vt:lpwstr>
  </property>
  <property fmtid="{D5CDD505-2E9C-101B-9397-08002B2CF9AE}" pid="3" name="_dlc_DocIdItemGuid">
    <vt:lpwstr>160f1ad8-4212-44fc-bf0b-d23a8ac255c3</vt:lpwstr>
  </property>
  <property fmtid="{D5CDD505-2E9C-101B-9397-08002B2CF9AE}" pid="4" name="Tipo Documento">
    <vt:lpwstr>Office 07-2010 - Sin restricciones</vt:lpwstr>
  </property>
  <property fmtid="{D5CDD505-2E9C-101B-9397-08002B2CF9AE}" pid="5" name="_dlc_DocId">
    <vt:lpwstr>3H6HEM3VYYNK-113-96</vt:lpwstr>
  </property>
  <property fmtid="{D5CDD505-2E9C-101B-9397-08002B2CF9AE}" pid="6" name="_dlc_DocIdUrl">
    <vt:lpwstr>http://oslo:84/ComunicacionInstitucional/_layouts/DocIdRedir.aspx?ID=3H6HEM3VYYNK-113-96, 3H6HEM3VYYNK-113-96</vt:lpwstr>
  </property>
  <property fmtid="{D5CDD505-2E9C-101B-9397-08002B2CF9AE}" pid="7" name="Grupo">
    <vt:lpwstr>Word 1997-2003</vt:lpwstr>
  </property>
  <property fmtid="{D5CDD505-2E9C-101B-9397-08002B2CF9AE}" pid="8" name="Order">
    <vt:r8>9600</vt:r8>
  </property>
  <property fmtid="{D5CDD505-2E9C-101B-9397-08002B2CF9AE}" pid="9" name="TemplateUrl">
    <vt:lpwstr/>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ies>
</file>